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D0102" w14:textId="77777777" w:rsidR="006230E6" w:rsidRDefault="006230E6" w:rsidP="009C45A2">
      <w:pPr>
        <w:rPr>
          <w:b/>
          <w:caps/>
          <w:color w:val="0095D5" w:themeColor="accent1"/>
          <w:lang w:val="de-DE"/>
        </w:rPr>
      </w:pPr>
      <w:r>
        <w:rPr>
          <w:b/>
          <w:caps/>
          <w:noProof/>
          <w:color w:val="0095D5" w:themeColor="accent1"/>
          <w:lang w:val="de-DE"/>
        </w:rPr>
        <w:drawing>
          <wp:inline distT="0" distB="0" distL="0" distR="0" wp14:anchorId="3CF4B1F2" wp14:editId="080A7827">
            <wp:extent cx="5000625" cy="33337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5000625" cy="3333750"/>
                    </a:xfrm>
                    <a:prstGeom prst="rect">
                      <a:avLst/>
                    </a:prstGeom>
                    <a:noFill/>
                    <a:ln>
                      <a:noFill/>
                    </a:ln>
                  </pic:spPr>
                </pic:pic>
              </a:graphicData>
            </a:graphic>
          </wp:inline>
        </w:drawing>
      </w:r>
    </w:p>
    <w:p w14:paraId="23D74EEF" w14:textId="57036C42" w:rsidR="00904CC2" w:rsidRDefault="00904CC2" w:rsidP="009C45A2">
      <w:pPr>
        <w:rPr>
          <w:b/>
          <w:caps/>
          <w:color w:val="0095D5" w:themeColor="accent1"/>
          <w:lang w:val="de-DE"/>
        </w:rPr>
      </w:pPr>
      <w:r w:rsidRPr="00904CC2">
        <w:rPr>
          <w:b/>
          <w:caps/>
          <w:color w:val="0095D5" w:themeColor="accent1"/>
          <w:lang w:val="de-DE"/>
        </w:rPr>
        <w:t xml:space="preserve">„Tumult“-Tournee </w:t>
      </w:r>
    </w:p>
    <w:p w14:paraId="290E174B" w14:textId="243BD95D" w:rsidR="00BD277B" w:rsidRDefault="00904CC2" w:rsidP="00D04DA7">
      <w:pPr>
        <w:rPr>
          <w:rFonts w:asciiTheme="majorHAnsi" w:hAnsiTheme="majorHAnsi"/>
          <w:b/>
          <w:lang w:val="de-DE"/>
        </w:rPr>
      </w:pPr>
      <w:bookmarkStart w:id="0" w:name="_Hlk12546313"/>
      <w:r w:rsidRPr="00904CC2">
        <w:rPr>
          <w:rFonts w:asciiTheme="majorHAnsi" w:hAnsiTheme="majorHAnsi"/>
          <w:b/>
          <w:lang w:val="de-DE"/>
        </w:rPr>
        <w:t>Sennheiser SKM 6000 für Herbert Grönemeyer</w:t>
      </w:r>
    </w:p>
    <w:p w14:paraId="270E8454" w14:textId="77777777" w:rsidR="0073282A" w:rsidRDefault="0073282A" w:rsidP="00D04DA7">
      <w:pPr>
        <w:rPr>
          <w:rFonts w:asciiTheme="majorHAnsi" w:hAnsiTheme="majorHAnsi"/>
          <w:b/>
          <w:lang w:val="de-DE"/>
        </w:rPr>
      </w:pPr>
    </w:p>
    <w:p w14:paraId="3AFC1BFC" w14:textId="1E23AF52" w:rsidR="00D04DA7" w:rsidRDefault="00D04DA7" w:rsidP="00D04DA7">
      <w:pPr>
        <w:rPr>
          <w:b/>
          <w:lang w:val="de-DE"/>
        </w:rPr>
      </w:pPr>
      <w:r w:rsidRPr="004E0469">
        <w:rPr>
          <w:b/>
          <w:i/>
          <w:lang w:val="de-DE"/>
        </w:rPr>
        <w:t>Wedemark/</w:t>
      </w:r>
      <w:r w:rsidR="00904CC2">
        <w:rPr>
          <w:b/>
          <w:i/>
          <w:lang w:val="de-DE"/>
        </w:rPr>
        <w:t>Berlin</w:t>
      </w:r>
      <w:r w:rsidR="00B45DB3">
        <w:rPr>
          <w:b/>
          <w:i/>
          <w:lang w:val="de-DE"/>
        </w:rPr>
        <w:t>,</w:t>
      </w:r>
      <w:r w:rsidR="009955C5">
        <w:rPr>
          <w:b/>
          <w:i/>
          <w:lang w:val="de-DE"/>
        </w:rPr>
        <w:t xml:space="preserve"> </w:t>
      </w:r>
      <w:r w:rsidR="0073282A">
        <w:rPr>
          <w:b/>
          <w:i/>
          <w:lang w:val="de-DE"/>
        </w:rPr>
        <w:t>1</w:t>
      </w:r>
      <w:r w:rsidR="00BB0059">
        <w:rPr>
          <w:b/>
          <w:i/>
          <w:lang w:val="de-DE"/>
        </w:rPr>
        <w:t>9</w:t>
      </w:r>
      <w:r w:rsidR="0073282A">
        <w:rPr>
          <w:b/>
          <w:i/>
          <w:lang w:val="de-DE"/>
        </w:rPr>
        <w:t>.</w:t>
      </w:r>
      <w:r w:rsidR="00A86653">
        <w:rPr>
          <w:b/>
          <w:i/>
          <w:lang w:val="de-DE"/>
        </w:rPr>
        <w:t xml:space="preserve"> </w:t>
      </w:r>
      <w:r w:rsidR="0073282A">
        <w:rPr>
          <w:b/>
          <w:i/>
          <w:lang w:val="de-DE"/>
        </w:rPr>
        <w:t>September 2019</w:t>
      </w:r>
      <w:r w:rsidRPr="004E0469">
        <w:rPr>
          <w:b/>
          <w:lang w:val="de-DE"/>
        </w:rPr>
        <w:t xml:space="preserve"> – </w:t>
      </w:r>
      <w:r w:rsidR="00904CC2" w:rsidRPr="00904CC2">
        <w:rPr>
          <w:b/>
          <w:lang w:val="de-DE"/>
        </w:rPr>
        <w:t xml:space="preserve">Mit </w:t>
      </w:r>
      <w:proofErr w:type="spellStart"/>
      <w:r w:rsidR="00904CC2" w:rsidRPr="00904CC2">
        <w:rPr>
          <w:b/>
          <w:lang w:val="de-DE"/>
        </w:rPr>
        <w:t>Openair</w:t>
      </w:r>
      <w:proofErr w:type="spellEnd"/>
      <w:r w:rsidR="00904CC2" w:rsidRPr="00904CC2">
        <w:rPr>
          <w:b/>
          <w:lang w:val="de-DE"/>
        </w:rPr>
        <w:t xml:space="preserve">-Auftritten in Deutschland, Österreich und der Schweiz setzte Herbert Grönemeyer im Spätsommer 2019 seine Konzertreihe zum aktuellen Album „Tumult“ fort. Aufgrund des regen Publikumsinteresses wurden mancherorts Zusatztermine anberaumt – die renommierte Berliner Waldbühne etwa konnte der Sänger am 3. und 4. September 2019 an gleich zwei Tagen ausverkaufen. Die Stimme von Herbert Grönemeyer wurde bei den Konzerten der „Tumult“-Tournee mit Sennheiser Digital 6000 Systemen übertragen </w:t>
      </w:r>
      <w:r w:rsidR="00A86653">
        <w:rPr>
          <w:b/>
          <w:lang w:val="de-DE"/>
        </w:rPr>
        <w:t>–</w:t>
      </w:r>
      <w:r w:rsidR="00904CC2" w:rsidRPr="00904CC2">
        <w:rPr>
          <w:b/>
          <w:lang w:val="de-DE"/>
        </w:rPr>
        <w:t xml:space="preserve"> seit Anfang 2019 verwendet der Sänger Sennheiser SKM 6000 Handsender, die mit Neumann KK 204 Mikrofonköpfen (nierenförmige Richtcharakteristik) bestückt sind. Die wegweisenden digitalen Transmitter haben bei Herbert Grönemeyer analoge Sennheiser SKM 5200 abgelöst.</w:t>
      </w:r>
    </w:p>
    <w:bookmarkEnd w:id="0"/>
    <w:p w14:paraId="43CE0DD2" w14:textId="77777777" w:rsidR="004368C0" w:rsidRDefault="004368C0" w:rsidP="00904CC2">
      <w:pPr>
        <w:rPr>
          <w:b/>
          <w:lang w:val="de-DE"/>
        </w:rPr>
      </w:pPr>
    </w:p>
    <w:p w14:paraId="779BD446" w14:textId="460B8A86" w:rsidR="00904CC2" w:rsidRPr="00904CC2" w:rsidRDefault="00904CC2" w:rsidP="00904CC2">
      <w:pPr>
        <w:rPr>
          <w:lang w:val="de-DE"/>
        </w:rPr>
      </w:pPr>
      <w:r w:rsidRPr="00904CC2">
        <w:rPr>
          <w:rFonts w:asciiTheme="majorHAnsi" w:hAnsiTheme="majorHAnsi"/>
          <w:b/>
          <w:lang w:val="de-DE"/>
        </w:rPr>
        <w:t xml:space="preserve">Digitale Sennheiser Drahtlostechnik im Systemverbund </w:t>
      </w:r>
      <w:r>
        <w:rPr>
          <w:rFonts w:asciiTheme="majorHAnsi" w:hAnsiTheme="majorHAnsi"/>
          <w:b/>
          <w:lang w:val="de-DE"/>
        </w:rPr>
        <w:br/>
      </w:r>
      <w:r w:rsidRPr="00904CC2">
        <w:rPr>
          <w:lang w:val="de-DE"/>
        </w:rPr>
        <w:t xml:space="preserve">Bei den Shows der „Tumult“-Tournee standen für Herbert Grönemeyer insgesamt vier Drahtlosstrecken zur Verfügung, von denen zwei aktiv genutzt wurden, während zwei Übertragungsstrecken als </w:t>
      </w:r>
      <w:proofErr w:type="spellStart"/>
      <w:r w:rsidRPr="00904CC2">
        <w:rPr>
          <w:lang w:val="de-DE"/>
        </w:rPr>
        <w:t>Spares</w:t>
      </w:r>
      <w:proofErr w:type="spellEnd"/>
      <w:r w:rsidRPr="00904CC2">
        <w:rPr>
          <w:lang w:val="de-DE"/>
        </w:rPr>
        <w:t xml:space="preserve"> bereitstanden. Nach der Hälfte des abendlichen Sets erhielt der auf der Bühne stets sehr aktive Sänger einen frischen Handsender. Zwischen den </w:t>
      </w:r>
      <w:r w:rsidRPr="00904CC2">
        <w:rPr>
          <w:lang w:val="de-DE"/>
        </w:rPr>
        <w:lastRenderedPageBreak/>
        <w:t>Tourneeauftritten wurden die in die Kapselköpfe integrierten Schaumstoffeinlagen sowie die Drahtgeflechte von der Ton-Crew gereinigt.</w:t>
      </w:r>
    </w:p>
    <w:p w14:paraId="2335067B" w14:textId="77777777" w:rsidR="00AF7025" w:rsidRDefault="00AF7025" w:rsidP="00904CC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AF7025" w:rsidRPr="00BB0059" w14:paraId="2CAED556" w14:textId="77777777" w:rsidTr="637C85B1">
        <w:tc>
          <w:tcPr>
            <w:tcW w:w="4390" w:type="dxa"/>
          </w:tcPr>
          <w:p w14:paraId="7CBC0752" w14:textId="77777777" w:rsidR="00AF7025" w:rsidRPr="00855E0C" w:rsidRDefault="00AF7025" w:rsidP="003D4A7B">
            <w:pPr>
              <w:pStyle w:val="Beschriftung"/>
              <w:rPr>
                <w:lang w:val="de-DE"/>
              </w:rPr>
            </w:pPr>
            <w:r>
              <w:rPr>
                <w:noProof/>
              </w:rPr>
              <w:drawing>
                <wp:inline distT="0" distB="0" distL="0" distR="0" wp14:anchorId="4A3B1550" wp14:editId="3933C830">
                  <wp:extent cx="2703050" cy="1799999"/>
                  <wp:effectExtent l="0" t="0" r="2540" b="0"/>
                  <wp:docPr id="8985771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cstate="screen">
                            <a:extLst>
                              <a:ext uri="{28A0092B-C50C-407E-A947-70E740481C1C}">
                                <a14:useLocalDpi xmlns:a14="http://schemas.microsoft.com/office/drawing/2010/main"/>
                              </a:ext>
                            </a:extLst>
                          </a:blip>
                          <a:stretch>
                            <a:fillRect/>
                          </a:stretch>
                        </pic:blipFill>
                        <pic:spPr>
                          <a:xfrm>
                            <a:off x="0" y="0"/>
                            <a:ext cx="2703050" cy="1799999"/>
                          </a:xfrm>
                          <a:prstGeom prst="rect">
                            <a:avLst/>
                          </a:prstGeom>
                        </pic:spPr>
                      </pic:pic>
                    </a:graphicData>
                  </a:graphic>
                </wp:inline>
              </w:drawing>
            </w:r>
          </w:p>
        </w:tc>
        <w:tc>
          <w:tcPr>
            <w:tcW w:w="3480" w:type="dxa"/>
          </w:tcPr>
          <w:p w14:paraId="5471CC13" w14:textId="5FAA120C" w:rsidR="00AF7025" w:rsidRPr="00D57198" w:rsidRDefault="003E5D77" w:rsidP="003D4A7B">
            <w:pPr>
              <w:spacing w:line="240" w:lineRule="auto"/>
              <w:rPr>
                <w:lang w:val="de-DE"/>
              </w:rPr>
            </w:pPr>
            <w:r w:rsidRPr="003E5D77">
              <w:rPr>
                <w:sz w:val="15"/>
                <w:szCs w:val="15"/>
                <w:lang w:val="de-DE"/>
              </w:rPr>
              <w:t xml:space="preserve">Herbert Grönemeyer vertraute </w:t>
            </w:r>
            <w:r w:rsidR="00A86653">
              <w:rPr>
                <w:sz w:val="15"/>
                <w:szCs w:val="15"/>
                <w:lang w:val="de-DE"/>
              </w:rPr>
              <w:t>bei</w:t>
            </w:r>
            <w:r w:rsidRPr="003E5D77">
              <w:rPr>
                <w:sz w:val="15"/>
                <w:szCs w:val="15"/>
                <w:lang w:val="de-DE"/>
              </w:rPr>
              <w:t xml:space="preserve"> seiner Tournee auf die Sennheiser SMK 6000 Handsender</w:t>
            </w:r>
          </w:p>
        </w:tc>
      </w:tr>
    </w:tbl>
    <w:p w14:paraId="5B7AA42A" w14:textId="77777777" w:rsidR="00AF7025" w:rsidRDefault="00AF7025" w:rsidP="00904CC2">
      <w:pPr>
        <w:rPr>
          <w:lang w:val="de-DE"/>
        </w:rPr>
      </w:pPr>
    </w:p>
    <w:p w14:paraId="0E79714E" w14:textId="0AF8C8FC" w:rsidR="00904CC2" w:rsidRDefault="00904CC2" w:rsidP="00904CC2">
      <w:pPr>
        <w:rPr>
          <w:lang w:val="de-DE"/>
        </w:rPr>
      </w:pPr>
      <w:r w:rsidRPr="00904CC2">
        <w:rPr>
          <w:lang w:val="de-DE"/>
        </w:rPr>
        <w:t xml:space="preserve">Nicht nur der Gesang von Herbert Grönemeyer, sondern auch alle anderen Stimmen wurden mithilfe der innovativen digitalen Drahtlossysteme von Sennheiser übertragen. Die den </w:t>
      </w:r>
      <w:proofErr w:type="spellStart"/>
      <w:r w:rsidRPr="00904CC2">
        <w:rPr>
          <w:lang w:val="de-DE"/>
        </w:rPr>
        <w:t>Backing</w:t>
      </w:r>
      <w:proofErr w:type="spellEnd"/>
      <w:r w:rsidRPr="00904CC2">
        <w:rPr>
          <w:lang w:val="de-DE"/>
        </w:rPr>
        <w:t xml:space="preserve">-Vocals zugewiesenen SKM 6000 Handsender waren mit dynamischen Sennheiser MD 9235 Kapseln versehen; die Akustikgitarren wurden mit SK 6000 Taschensendern übertragen, was gleichermaßen für das Saxofon galt. </w:t>
      </w:r>
    </w:p>
    <w:p w14:paraId="01B865AC" w14:textId="77777777" w:rsidR="00AF7025" w:rsidRDefault="00AF7025" w:rsidP="001C147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AF7025" w:rsidRPr="00D04DA7" w14:paraId="323E9767" w14:textId="77777777" w:rsidTr="637C85B1">
        <w:trPr>
          <w:trHeight w:val="3251"/>
        </w:trPr>
        <w:tc>
          <w:tcPr>
            <w:tcW w:w="3114" w:type="dxa"/>
          </w:tcPr>
          <w:p w14:paraId="29DE9585" w14:textId="31667913" w:rsidR="00AF7025" w:rsidRPr="001D646E" w:rsidRDefault="003E5D77" w:rsidP="003D4A7B">
            <w:pPr>
              <w:pStyle w:val="Beschriftung"/>
              <w:spacing w:line="240" w:lineRule="auto"/>
              <w:rPr>
                <w:color w:val="000000" w:themeColor="text1"/>
                <w:lang w:val="de-DE"/>
              </w:rPr>
            </w:pPr>
            <w:r w:rsidRPr="003E5D77">
              <w:rPr>
                <w:color w:val="000000" w:themeColor="text1"/>
                <w:lang w:val="de-DE"/>
              </w:rPr>
              <w:t xml:space="preserve">Für die Akustikgitarren waren die SK 6000 </w:t>
            </w:r>
            <w:r w:rsidR="00056665">
              <w:rPr>
                <w:color w:val="000000" w:themeColor="text1"/>
                <w:lang w:val="de-DE"/>
              </w:rPr>
              <w:t>Taschens</w:t>
            </w:r>
            <w:r w:rsidRPr="003E5D77">
              <w:rPr>
                <w:color w:val="000000" w:themeColor="text1"/>
                <w:lang w:val="de-DE"/>
              </w:rPr>
              <w:t>ender im Einsatz</w:t>
            </w:r>
          </w:p>
        </w:tc>
        <w:tc>
          <w:tcPr>
            <w:tcW w:w="4756" w:type="dxa"/>
          </w:tcPr>
          <w:p w14:paraId="5B1AE7E1" w14:textId="77777777" w:rsidR="00AF7025" w:rsidRPr="00D57198" w:rsidRDefault="00AF7025" w:rsidP="003D4A7B">
            <w:pPr>
              <w:rPr>
                <w:lang w:val="de-DE"/>
              </w:rPr>
            </w:pPr>
            <w:r>
              <w:rPr>
                <w:noProof/>
              </w:rPr>
              <w:drawing>
                <wp:inline distT="0" distB="0" distL="0" distR="0" wp14:anchorId="26431D24" wp14:editId="1E495DD4">
                  <wp:extent cx="2946548" cy="1962149"/>
                  <wp:effectExtent l="0" t="0" r="6350" b="635"/>
                  <wp:docPr id="3699366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3" cstate="screen">
                            <a:extLst>
                              <a:ext uri="{28A0092B-C50C-407E-A947-70E740481C1C}">
                                <a14:useLocalDpi xmlns:a14="http://schemas.microsoft.com/office/drawing/2010/main"/>
                              </a:ext>
                            </a:extLst>
                          </a:blip>
                          <a:stretch>
                            <a:fillRect/>
                          </a:stretch>
                        </pic:blipFill>
                        <pic:spPr>
                          <a:xfrm>
                            <a:off x="0" y="0"/>
                            <a:ext cx="2946548" cy="1962149"/>
                          </a:xfrm>
                          <a:prstGeom prst="rect">
                            <a:avLst/>
                          </a:prstGeom>
                        </pic:spPr>
                      </pic:pic>
                    </a:graphicData>
                  </a:graphic>
                </wp:inline>
              </w:drawing>
            </w:r>
          </w:p>
        </w:tc>
      </w:tr>
    </w:tbl>
    <w:p w14:paraId="376F539E" w14:textId="77777777" w:rsidR="003E5D77" w:rsidRDefault="003E5D77" w:rsidP="001C1474">
      <w:pPr>
        <w:rPr>
          <w:lang w:val="de-DE"/>
        </w:rPr>
      </w:pPr>
    </w:p>
    <w:p w14:paraId="08D9222C" w14:textId="3A465673" w:rsidR="00AF7025" w:rsidRDefault="00904CC2" w:rsidP="001C1474">
      <w:pPr>
        <w:rPr>
          <w:lang w:val="de-DE"/>
        </w:rPr>
      </w:pPr>
      <w:r w:rsidRPr="00904CC2">
        <w:rPr>
          <w:lang w:val="de-DE"/>
        </w:rPr>
        <w:t xml:space="preserve">Die Hand- und Taschensender kommunizierten mit Sennheiser EM 6000 Doppelempfängern, die über ihre AES/EBU-Ausgänge mit dem digitalen Mischpultsystem verbunden waren. Ein einzelner Sennheiser EM 6000 Doppelempfänger befand sich abgesetzt in einem Seitenbereich der Bühne und lieferte in der „Guitar World“ Signale für </w:t>
      </w:r>
      <w:proofErr w:type="spellStart"/>
      <w:r w:rsidRPr="00904CC2">
        <w:rPr>
          <w:lang w:val="de-DE"/>
        </w:rPr>
        <w:t>Profiling</w:t>
      </w:r>
      <w:proofErr w:type="spellEnd"/>
      <w:r w:rsidRPr="00904CC2">
        <w:rPr>
          <w:lang w:val="de-DE"/>
        </w:rPr>
        <w:t>-Amps. Der entfernt vom Monitorplatz positionierte EM 6000 war über ein Netzwerkkabel in das Sennheiser Gesamtsystem eingebunden, so dass Ferneinstellung und -überwachung mithilfe der WSM-Software möglich waren.</w:t>
      </w:r>
    </w:p>
    <w:p w14:paraId="6F39D61F" w14:textId="77777777" w:rsidR="00AF7025" w:rsidRDefault="00AF7025" w:rsidP="001C147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AF7025" w:rsidRPr="00BB0059" w14:paraId="304E62CB" w14:textId="77777777" w:rsidTr="637C85B1">
        <w:tc>
          <w:tcPr>
            <w:tcW w:w="4390" w:type="dxa"/>
          </w:tcPr>
          <w:p w14:paraId="140C4D8A" w14:textId="77777777" w:rsidR="00AF7025" w:rsidRPr="00855E0C" w:rsidRDefault="00AF7025" w:rsidP="003D4A7B">
            <w:pPr>
              <w:pStyle w:val="Beschriftung"/>
              <w:rPr>
                <w:lang w:val="de-DE"/>
              </w:rPr>
            </w:pPr>
            <w:r>
              <w:rPr>
                <w:noProof/>
              </w:rPr>
              <w:drawing>
                <wp:inline distT="0" distB="0" distL="0" distR="0" wp14:anchorId="4A30D40C" wp14:editId="3A9B62ED">
                  <wp:extent cx="2703049" cy="1799999"/>
                  <wp:effectExtent l="0" t="0" r="2540" b="0"/>
                  <wp:docPr id="8297260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4" cstate="screen">
                            <a:extLst>
                              <a:ext uri="{28A0092B-C50C-407E-A947-70E740481C1C}">
                                <a14:useLocalDpi xmlns:a14="http://schemas.microsoft.com/office/drawing/2010/main"/>
                              </a:ext>
                            </a:extLst>
                          </a:blip>
                          <a:stretch>
                            <a:fillRect/>
                          </a:stretch>
                        </pic:blipFill>
                        <pic:spPr>
                          <a:xfrm>
                            <a:off x="0" y="0"/>
                            <a:ext cx="2703049" cy="1799999"/>
                          </a:xfrm>
                          <a:prstGeom prst="rect">
                            <a:avLst/>
                          </a:prstGeom>
                        </pic:spPr>
                      </pic:pic>
                    </a:graphicData>
                  </a:graphic>
                </wp:inline>
              </w:drawing>
            </w:r>
          </w:p>
        </w:tc>
        <w:tc>
          <w:tcPr>
            <w:tcW w:w="3480" w:type="dxa"/>
          </w:tcPr>
          <w:p w14:paraId="37075B82" w14:textId="412DA0F0" w:rsidR="00AF7025" w:rsidRPr="00D57198" w:rsidRDefault="003E5D77" w:rsidP="003D4A7B">
            <w:pPr>
              <w:spacing w:line="240" w:lineRule="auto"/>
              <w:rPr>
                <w:lang w:val="de-DE"/>
              </w:rPr>
            </w:pPr>
            <w:r w:rsidRPr="00605D05">
              <w:rPr>
                <w:sz w:val="15"/>
                <w:szCs w:val="15"/>
                <w:lang w:val="de-DE"/>
              </w:rPr>
              <w:t>Die Hand- und Taschensender waren mit dem Sennheiser EM 6000 Doppelempfänger verbunden</w:t>
            </w:r>
          </w:p>
        </w:tc>
      </w:tr>
    </w:tbl>
    <w:p w14:paraId="3BE911F8" w14:textId="13D4247D" w:rsidR="00AF7025" w:rsidRDefault="00AF7025" w:rsidP="001C1474">
      <w:pPr>
        <w:rPr>
          <w:lang w:val="de-DE"/>
        </w:rPr>
      </w:pPr>
    </w:p>
    <w:p w14:paraId="4C888A4E" w14:textId="23B2306C" w:rsidR="00AF7025" w:rsidRDefault="00AF7025" w:rsidP="001C1474">
      <w:pPr>
        <w:rPr>
          <w:lang w:val="de-DE"/>
        </w:rPr>
      </w:pPr>
      <w:r w:rsidRPr="00AF7025">
        <w:rPr>
          <w:lang w:val="de-DE"/>
        </w:rPr>
        <w:t>Der Sennheiser „Wireless System Manager“ war am Monitorplatz auf einem Laptop installiert und sorgte für Übersicht – unter anderem ließen sich die Ladezustände der Akkupacks komfortabel kontrollieren. Mit frischer Energie versorgt wurden die Akkus in vier L 6000 19“-Ladestationen, welche mit passenden Modulen (LM 6060 und LM 6061) für die BA 60 und BA 61 der Hand- und Taschensender ausgerüstet waren. Die riesigen Bühnen wurden auf der Tournee mit drei Sennheiser Antennenpaaren (A 2003-UHF sowie AD 3700 mit schaltbarem Booster) abgedeckt.</w:t>
      </w:r>
    </w:p>
    <w:p w14:paraId="2FA19D4E" w14:textId="77777777" w:rsidR="00AF7025" w:rsidRDefault="00AF7025" w:rsidP="001C147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AF7025" w:rsidRPr="00D04DA7" w14:paraId="7A8724A5" w14:textId="77777777" w:rsidTr="637C85B1">
        <w:trPr>
          <w:trHeight w:val="3251"/>
        </w:trPr>
        <w:tc>
          <w:tcPr>
            <w:tcW w:w="3114" w:type="dxa"/>
          </w:tcPr>
          <w:p w14:paraId="32FE1AA1" w14:textId="7B366CAD" w:rsidR="00AF7025" w:rsidRPr="001D646E" w:rsidRDefault="003E5D77" w:rsidP="003D4A7B">
            <w:pPr>
              <w:pStyle w:val="Beschriftung"/>
              <w:spacing w:line="240" w:lineRule="auto"/>
              <w:rPr>
                <w:color w:val="000000" w:themeColor="text1"/>
                <w:lang w:val="de-DE"/>
              </w:rPr>
            </w:pPr>
            <w:r w:rsidRPr="00605D05">
              <w:rPr>
                <w:color w:val="000000" w:themeColor="text1"/>
                <w:lang w:val="de-DE"/>
              </w:rPr>
              <w:t xml:space="preserve">Über den „Wireless System Manager“ konnten die </w:t>
            </w:r>
            <w:r w:rsidR="00605D05" w:rsidRPr="00605D05">
              <w:rPr>
                <w:color w:val="000000" w:themeColor="text1"/>
                <w:lang w:val="de-DE"/>
              </w:rPr>
              <w:t>Ladezustände der Akkupacks komfortabel kontrolliert werden</w:t>
            </w:r>
          </w:p>
        </w:tc>
        <w:tc>
          <w:tcPr>
            <w:tcW w:w="4756" w:type="dxa"/>
          </w:tcPr>
          <w:p w14:paraId="59505985" w14:textId="77777777" w:rsidR="00AF7025" w:rsidRPr="00D57198" w:rsidRDefault="00AF7025" w:rsidP="003D4A7B">
            <w:pPr>
              <w:rPr>
                <w:lang w:val="de-DE"/>
              </w:rPr>
            </w:pPr>
            <w:r>
              <w:rPr>
                <w:noProof/>
              </w:rPr>
              <w:drawing>
                <wp:inline distT="0" distB="0" distL="0" distR="0" wp14:anchorId="2D95CC46" wp14:editId="781AAA14">
                  <wp:extent cx="2946548" cy="1962148"/>
                  <wp:effectExtent l="0" t="0" r="6350" b="635"/>
                  <wp:docPr id="8462295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5" cstate="screen">
                            <a:extLst>
                              <a:ext uri="{28A0092B-C50C-407E-A947-70E740481C1C}">
                                <a14:useLocalDpi xmlns:a14="http://schemas.microsoft.com/office/drawing/2010/main"/>
                              </a:ext>
                            </a:extLst>
                          </a:blip>
                          <a:stretch>
                            <a:fillRect/>
                          </a:stretch>
                        </pic:blipFill>
                        <pic:spPr>
                          <a:xfrm>
                            <a:off x="0" y="0"/>
                            <a:ext cx="2946548" cy="1962148"/>
                          </a:xfrm>
                          <a:prstGeom prst="rect">
                            <a:avLst/>
                          </a:prstGeom>
                        </pic:spPr>
                      </pic:pic>
                    </a:graphicData>
                  </a:graphic>
                </wp:inline>
              </w:drawing>
            </w:r>
          </w:p>
        </w:tc>
      </w:tr>
    </w:tbl>
    <w:p w14:paraId="3D76194D" w14:textId="77777777" w:rsidR="00605D05" w:rsidRDefault="00605D05" w:rsidP="001C1474">
      <w:pPr>
        <w:rPr>
          <w:lang w:val="de-DE"/>
        </w:rPr>
      </w:pPr>
    </w:p>
    <w:p w14:paraId="3C709457" w14:textId="71F41FD5" w:rsidR="00904CC2" w:rsidRPr="00904CC2" w:rsidRDefault="00904CC2" w:rsidP="001C1474">
      <w:pPr>
        <w:rPr>
          <w:rFonts w:asciiTheme="majorHAnsi" w:hAnsiTheme="majorHAnsi"/>
          <w:b/>
          <w:lang w:val="de-DE"/>
        </w:rPr>
      </w:pPr>
      <w:proofErr w:type="spellStart"/>
      <w:r w:rsidRPr="00904CC2">
        <w:rPr>
          <w:rFonts w:asciiTheme="majorHAnsi" w:hAnsiTheme="majorHAnsi"/>
          <w:b/>
          <w:lang w:val="de-DE"/>
        </w:rPr>
        <w:t>Simply</w:t>
      </w:r>
      <w:proofErr w:type="spellEnd"/>
      <w:r w:rsidRPr="00904CC2">
        <w:rPr>
          <w:rFonts w:asciiTheme="majorHAnsi" w:hAnsiTheme="majorHAnsi"/>
          <w:b/>
          <w:lang w:val="de-DE"/>
        </w:rPr>
        <w:t xml:space="preserve"> </w:t>
      </w:r>
      <w:proofErr w:type="spellStart"/>
      <w:r w:rsidRPr="00904CC2">
        <w:rPr>
          <w:rFonts w:asciiTheme="majorHAnsi" w:hAnsiTheme="majorHAnsi"/>
          <w:b/>
          <w:lang w:val="de-DE"/>
        </w:rPr>
        <w:t>the</w:t>
      </w:r>
      <w:proofErr w:type="spellEnd"/>
      <w:r w:rsidRPr="00904CC2">
        <w:rPr>
          <w:rFonts w:asciiTheme="majorHAnsi" w:hAnsiTheme="majorHAnsi"/>
          <w:b/>
          <w:lang w:val="de-DE"/>
        </w:rPr>
        <w:t xml:space="preserve"> Best!</w:t>
      </w:r>
    </w:p>
    <w:p w14:paraId="6A0AC53B" w14:textId="4EDFA25B" w:rsidR="00904CC2" w:rsidRPr="00904CC2" w:rsidRDefault="00904CC2" w:rsidP="00904CC2">
      <w:pPr>
        <w:rPr>
          <w:lang w:val="de-DE"/>
        </w:rPr>
      </w:pPr>
      <w:r w:rsidRPr="00904CC2">
        <w:rPr>
          <w:lang w:val="de-DE"/>
        </w:rPr>
        <w:t>„Die Sennheiser Digital 6000 Systeme sind die besten Drahtlosstrecken, die ich jemals gehört habe!“, sagte Monitormischer Christian „Chris“ Orth vor Beginn des zweiten Konzertabends in der Berliner Waldbühne. „In Kombination mit der sehr offen klingenden Neumann Kondensatorkapsel KK 204 ist der Sound von Herberts Stimme einfach großartig, und beim In-</w:t>
      </w:r>
      <w:proofErr w:type="spellStart"/>
      <w:r w:rsidRPr="00904CC2">
        <w:rPr>
          <w:lang w:val="de-DE"/>
        </w:rPr>
        <w:t>Ear</w:t>
      </w:r>
      <w:proofErr w:type="spellEnd"/>
      <w:r w:rsidRPr="00904CC2">
        <w:rPr>
          <w:lang w:val="de-DE"/>
        </w:rPr>
        <w:t>-Mix gibt es keine Fragen mehr!“ Christian Orth ist Geschäftsführer der in Köln ansässigen O-Lab Audio GmbH</w:t>
      </w:r>
      <w:r w:rsidR="006A7901">
        <w:rPr>
          <w:lang w:val="de-DE"/>
        </w:rPr>
        <w:t xml:space="preserve"> (</w:t>
      </w:r>
      <w:hyperlink r:id="rId16" w:history="1">
        <w:r w:rsidR="006A7901" w:rsidRPr="0073282A">
          <w:rPr>
            <w:rStyle w:val="Hyperlink"/>
            <w:lang w:val="de-DE"/>
          </w:rPr>
          <w:t>audioplanung.de</w:t>
        </w:r>
      </w:hyperlink>
      <w:r w:rsidR="006A7901">
        <w:rPr>
          <w:lang w:val="de-DE"/>
        </w:rPr>
        <w:t xml:space="preserve">) und wird u.a. </w:t>
      </w:r>
      <w:r w:rsidRPr="00904CC2">
        <w:rPr>
          <w:lang w:val="de-DE"/>
        </w:rPr>
        <w:t xml:space="preserve">regelmäßig für </w:t>
      </w:r>
      <w:r w:rsidR="006A7901">
        <w:rPr>
          <w:lang w:val="de-DE"/>
        </w:rPr>
        <w:t>Produktionsfirmen</w:t>
      </w:r>
      <w:r w:rsidRPr="00904CC2">
        <w:rPr>
          <w:lang w:val="de-DE"/>
        </w:rPr>
        <w:t xml:space="preserve"> aktiv</w:t>
      </w:r>
      <w:r w:rsidR="006A7901">
        <w:rPr>
          <w:lang w:val="de-DE"/>
        </w:rPr>
        <w:t xml:space="preserve">, in </w:t>
      </w:r>
      <w:r w:rsidR="006A7901">
        <w:rPr>
          <w:lang w:val="de-DE"/>
        </w:rPr>
        <w:lastRenderedPageBreak/>
        <w:t xml:space="preserve">deren Auftrag er </w:t>
      </w:r>
      <w:proofErr w:type="spellStart"/>
      <w:r w:rsidR="006A7901">
        <w:rPr>
          <w:lang w:val="de-DE"/>
        </w:rPr>
        <w:t>z,B</w:t>
      </w:r>
      <w:proofErr w:type="spellEnd"/>
      <w:r w:rsidR="006A7901">
        <w:rPr>
          <w:lang w:val="de-DE"/>
        </w:rPr>
        <w:t xml:space="preserve">. </w:t>
      </w:r>
      <w:r w:rsidRPr="00904CC2">
        <w:rPr>
          <w:lang w:val="de-DE"/>
        </w:rPr>
        <w:t xml:space="preserve">Produktionen wie „The Voice </w:t>
      </w:r>
      <w:proofErr w:type="spellStart"/>
      <w:r w:rsidRPr="00904CC2">
        <w:rPr>
          <w:lang w:val="de-DE"/>
        </w:rPr>
        <w:t>of</w:t>
      </w:r>
      <w:proofErr w:type="spellEnd"/>
      <w:r w:rsidRPr="00904CC2">
        <w:rPr>
          <w:lang w:val="de-DE"/>
        </w:rPr>
        <w:t xml:space="preserve"> Germany“, „Versteckte Kamera“ und die „DSDS  Castings“ </w:t>
      </w:r>
      <w:r w:rsidR="006A7901">
        <w:rPr>
          <w:lang w:val="de-DE"/>
        </w:rPr>
        <w:t>begleitet</w:t>
      </w:r>
      <w:r w:rsidRPr="00904CC2">
        <w:rPr>
          <w:lang w:val="de-DE"/>
        </w:rPr>
        <w:t>.</w:t>
      </w:r>
    </w:p>
    <w:p w14:paraId="4D8DA03A" w14:textId="77777777" w:rsidR="00AF7025" w:rsidRDefault="00AF7025" w:rsidP="00904CC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AF7025" w:rsidRPr="00BB0059" w14:paraId="2A11A45E" w14:textId="77777777" w:rsidTr="637C85B1">
        <w:tc>
          <w:tcPr>
            <w:tcW w:w="4390" w:type="dxa"/>
          </w:tcPr>
          <w:p w14:paraId="69B858E1" w14:textId="77777777" w:rsidR="00AF7025" w:rsidRPr="00855E0C" w:rsidRDefault="00AF7025" w:rsidP="003D4A7B">
            <w:pPr>
              <w:pStyle w:val="Beschriftung"/>
              <w:rPr>
                <w:lang w:val="de-DE"/>
              </w:rPr>
            </w:pPr>
            <w:r>
              <w:rPr>
                <w:noProof/>
              </w:rPr>
              <w:drawing>
                <wp:inline distT="0" distB="0" distL="0" distR="0" wp14:anchorId="01DB6AF7" wp14:editId="2A6AD1CC">
                  <wp:extent cx="2703049" cy="1799999"/>
                  <wp:effectExtent l="0" t="0" r="2540" b="0"/>
                  <wp:docPr id="8126953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7" cstate="screen">
                            <a:extLst>
                              <a:ext uri="{28A0092B-C50C-407E-A947-70E740481C1C}">
                                <a14:useLocalDpi xmlns:a14="http://schemas.microsoft.com/office/drawing/2010/main"/>
                              </a:ext>
                            </a:extLst>
                          </a:blip>
                          <a:stretch>
                            <a:fillRect/>
                          </a:stretch>
                        </pic:blipFill>
                        <pic:spPr>
                          <a:xfrm>
                            <a:off x="0" y="0"/>
                            <a:ext cx="2703049" cy="1799999"/>
                          </a:xfrm>
                          <a:prstGeom prst="rect">
                            <a:avLst/>
                          </a:prstGeom>
                        </pic:spPr>
                      </pic:pic>
                    </a:graphicData>
                  </a:graphic>
                </wp:inline>
              </w:drawing>
            </w:r>
          </w:p>
        </w:tc>
        <w:tc>
          <w:tcPr>
            <w:tcW w:w="3480" w:type="dxa"/>
          </w:tcPr>
          <w:p w14:paraId="60369C28" w14:textId="66D1252F" w:rsidR="00AF7025" w:rsidRPr="00D57198" w:rsidRDefault="00605D05" w:rsidP="003D4A7B">
            <w:pPr>
              <w:spacing w:line="240" w:lineRule="auto"/>
              <w:rPr>
                <w:lang w:val="de-DE"/>
              </w:rPr>
            </w:pPr>
            <w:r w:rsidRPr="00605D05">
              <w:rPr>
                <w:sz w:val="15"/>
                <w:szCs w:val="15"/>
                <w:lang w:val="de-DE"/>
              </w:rPr>
              <w:t>Monitormischer Christian Orth ist von den Digital 600</w:t>
            </w:r>
            <w:r>
              <w:rPr>
                <w:sz w:val="15"/>
                <w:szCs w:val="15"/>
                <w:lang w:val="de-DE"/>
              </w:rPr>
              <w:t>0</w:t>
            </w:r>
            <w:r w:rsidRPr="00605D05">
              <w:rPr>
                <w:sz w:val="15"/>
                <w:szCs w:val="15"/>
                <w:lang w:val="de-DE"/>
              </w:rPr>
              <w:t xml:space="preserve"> Systemen begeistert</w:t>
            </w:r>
          </w:p>
        </w:tc>
      </w:tr>
    </w:tbl>
    <w:p w14:paraId="79F6859D" w14:textId="77777777" w:rsidR="00AF7025" w:rsidRDefault="00AF7025" w:rsidP="00904CC2">
      <w:pPr>
        <w:rPr>
          <w:lang w:val="de-DE"/>
        </w:rPr>
      </w:pPr>
    </w:p>
    <w:p w14:paraId="4C49F367" w14:textId="16D17114" w:rsidR="00056665" w:rsidRDefault="00904CC2" w:rsidP="009955C5">
      <w:pPr>
        <w:rPr>
          <w:lang w:val="de-DE"/>
        </w:rPr>
      </w:pPr>
      <w:r w:rsidRPr="00904CC2">
        <w:rPr>
          <w:lang w:val="de-DE"/>
        </w:rPr>
        <w:t xml:space="preserve">Zum unverfälschten Klang der digitalen Drahtlosübertragung äußerte sich Christian Orth wie folgt: „Ich höre bei den 6000er-Strecken keine Kompression </w:t>
      </w:r>
      <w:r w:rsidR="00B66201">
        <w:rPr>
          <w:lang w:val="de-DE"/>
        </w:rPr>
        <w:t>–</w:t>
      </w:r>
      <w:r w:rsidRPr="00904CC2">
        <w:rPr>
          <w:lang w:val="de-DE"/>
        </w:rPr>
        <w:t xml:space="preserve"> man könnte sagen, dass der Klang der Wireless-Systeme einer Kabelverbindung nahekommt. Ich habe nicht das Gefühl, dass die drahtlose Übertragung etwas mit dem Signal anstellt, wie es bei anderen Systemen der Fall ist.“</w:t>
      </w:r>
    </w:p>
    <w:p w14:paraId="10E7877B" w14:textId="77777777" w:rsidR="002F6E3D" w:rsidRDefault="002F6E3D" w:rsidP="009955C5">
      <w:pPr>
        <w:rPr>
          <w:lang w:val="de-DE"/>
        </w:rPr>
      </w:pPr>
    </w:p>
    <w:p w14:paraId="57463068" w14:textId="1DB1E279" w:rsidR="00605D05" w:rsidRDefault="00904CC2" w:rsidP="009955C5">
      <w:pPr>
        <w:rPr>
          <w:lang w:val="de-DE"/>
        </w:rPr>
      </w:pPr>
      <w:r w:rsidRPr="00904CC2">
        <w:rPr>
          <w:lang w:val="de-DE"/>
        </w:rPr>
        <w:t xml:space="preserve">Jenseits des herausragend guten Klangs gehört die intermodulationsfreie Übertragung zu den zahlreichen Vorzügen der Sennheiser Digital 6000 Systeme: Normalerweise wird bei der Einrichtung vielkanaliger Wireless-Setups ein Sicherheitsabstand zwischen den beteiligten Übertragungsfrequenzen eingerichtet. Bei Sennheiser Digital 6000 Systemen ist ein derartiger Schutzabstand nicht erforderlich, so dass Frequenzen einfach in einem äquidistanten Raster (d. h. mit gleichem Abstand zueinander) angeordnet werden können. Sennheiser empfiehlt ein </w:t>
      </w:r>
      <w:proofErr w:type="spellStart"/>
      <w:r w:rsidRPr="00904CC2">
        <w:rPr>
          <w:lang w:val="de-DE"/>
        </w:rPr>
        <w:t>Spacing</w:t>
      </w:r>
      <w:proofErr w:type="spellEnd"/>
      <w:r w:rsidRPr="00904CC2">
        <w:rPr>
          <w:lang w:val="de-DE"/>
        </w:rPr>
        <w:t xml:space="preserve"> von 600 kHz, wobei in der Praxis auch kompaktere Blöcke mit 400 kHz funktionieren. Die Frequenzverteilung ist nicht nur besonders einfach zu bewerkstelligen, sondern es lassen sich im Vergleich zu den Verfahren anderer Marktteilnehmer auch mehr Übertragungsstrecken in einem definierten Frequenzfenster unterbringen – maximale Spektraleffizienz bei überragender Signalstabilität ist in Zeiten zunehmender Frequenzknappheit ein großer Vorteil.</w:t>
      </w:r>
    </w:p>
    <w:p w14:paraId="120ADEA1" w14:textId="77777777" w:rsidR="004368C0" w:rsidRDefault="004368C0" w:rsidP="009955C5">
      <w:pPr>
        <w:rPr>
          <w:rFonts w:asciiTheme="majorHAnsi" w:hAnsiTheme="majorHAnsi"/>
          <w:b/>
          <w:lang w:val="de-DE"/>
        </w:rPr>
      </w:pPr>
    </w:p>
    <w:p w14:paraId="323D8FF7" w14:textId="3CB7EDDA" w:rsidR="0094396A" w:rsidRDefault="00904CC2" w:rsidP="009955C5">
      <w:pPr>
        <w:rPr>
          <w:lang w:val="de-DE"/>
        </w:rPr>
      </w:pPr>
      <w:r w:rsidRPr="00904CC2">
        <w:rPr>
          <w:rFonts w:asciiTheme="majorHAnsi" w:hAnsiTheme="majorHAnsi"/>
          <w:b/>
          <w:lang w:val="de-DE"/>
        </w:rPr>
        <w:t>Drahtloses In-</w:t>
      </w:r>
      <w:proofErr w:type="spellStart"/>
      <w:r w:rsidRPr="00904CC2">
        <w:rPr>
          <w:rFonts w:asciiTheme="majorHAnsi" w:hAnsiTheme="majorHAnsi"/>
          <w:b/>
          <w:lang w:val="de-DE"/>
        </w:rPr>
        <w:t>Ear</w:t>
      </w:r>
      <w:proofErr w:type="spellEnd"/>
      <w:r w:rsidRPr="00904CC2">
        <w:rPr>
          <w:rFonts w:asciiTheme="majorHAnsi" w:hAnsiTheme="majorHAnsi"/>
          <w:b/>
          <w:lang w:val="de-DE"/>
        </w:rPr>
        <w:t xml:space="preserve">-Monitoring mit der Sennheiser 2000er-Serie </w:t>
      </w:r>
      <w:r>
        <w:rPr>
          <w:rFonts w:asciiTheme="majorHAnsi" w:hAnsiTheme="majorHAnsi"/>
          <w:b/>
          <w:lang w:val="de-DE"/>
        </w:rPr>
        <w:br/>
      </w:r>
      <w:r w:rsidRPr="00904CC2">
        <w:rPr>
          <w:lang w:val="de-DE"/>
        </w:rPr>
        <w:t xml:space="preserve">Für die drahtlose Übertragung der Monitormischungen setzte die „Tumult“-Produktion auf bewährte </w:t>
      </w:r>
      <w:r w:rsidR="00B66201">
        <w:rPr>
          <w:lang w:val="de-DE"/>
        </w:rPr>
        <w:t xml:space="preserve">Lösungen von </w:t>
      </w:r>
      <w:r w:rsidRPr="00904CC2">
        <w:rPr>
          <w:lang w:val="de-DE"/>
        </w:rPr>
        <w:t xml:space="preserve">Sennheiser. Verwendung fanden SR 2050 IEM Rack-Doppelsender, die mit robusten EK 2000 IEM Bodypack-Empfängern betrieben wurden. Die Signale wurden über zwei zirkular polarisierte A 5000-CP Wendelantennen abgestrahlt, welche den </w:t>
      </w:r>
      <w:r w:rsidRPr="00904CC2">
        <w:rPr>
          <w:lang w:val="de-DE"/>
        </w:rPr>
        <w:lastRenderedPageBreak/>
        <w:t xml:space="preserve">Aktionsradius der Musiker problemlos abdeckten und in Kombination mit einem Sennheiser AC 3200 </w:t>
      </w:r>
      <w:proofErr w:type="spellStart"/>
      <w:r w:rsidRPr="00904CC2">
        <w:rPr>
          <w:lang w:val="de-DE"/>
        </w:rPr>
        <w:t>Combiner</w:t>
      </w:r>
      <w:proofErr w:type="spellEnd"/>
      <w:r w:rsidRPr="00904CC2">
        <w:rPr>
          <w:lang w:val="de-DE"/>
        </w:rPr>
        <w:t xml:space="preserve"> eingesetzt wurden.</w:t>
      </w:r>
    </w:p>
    <w:p w14:paraId="40AD184F" w14:textId="77777777" w:rsidR="00904CC2" w:rsidRDefault="00904CC2" w:rsidP="009955C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AF7025" w:rsidRPr="00D04DA7" w14:paraId="77AF2A93" w14:textId="77777777" w:rsidTr="637C85B1">
        <w:trPr>
          <w:trHeight w:val="3251"/>
        </w:trPr>
        <w:tc>
          <w:tcPr>
            <w:tcW w:w="3114" w:type="dxa"/>
          </w:tcPr>
          <w:p w14:paraId="78FED9E1" w14:textId="1582FC1F" w:rsidR="00AF7025" w:rsidRPr="001D646E" w:rsidRDefault="637C85B1" w:rsidP="637C85B1">
            <w:pPr>
              <w:pStyle w:val="Beschriftung"/>
              <w:spacing w:line="240" w:lineRule="auto"/>
              <w:rPr>
                <w:color w:val="000000" w:themeColor="text1"/>
                <w:lang w:val="de-DE"/>
              </w:rPr>
            </w:pPr>
            <w:r w:rsidRPr="637C85B1">
              <w:rPr>
                <w:color w:val="000000" w:themeColor="text1"/>
                <w:lang w:val="de-DE"/>
              </w:rPr>
              <w:t>Sennheiser Lösungen der 2000er</w:t>
            </w:r>
            <w:r w:rsidR="00937ADE">
              <w:rPr>
                <w:color w:val="000000" w:themeColor="text1"/>
                <w:lang w:val="de-DE"/>
              </w:rPr>
              <w:t>-</w:t>
            </w:r>
            <w:r w:rsidR="00937ADE" w:rsidRPr="637C85B1">
              <w:rPr>
                <w:color w:val="000000" w:themeColor="text1"/>
                <w:lang w:val="de-DE"/>
              </w:rPr>
              <w:t>Serie sorgten</w:t>
            </w:r>
            <w:r w:rsidRPr="637C85B1">
              <w:rPr>
                <w:color w:val="000000" w:themeColor="text1"/>
                <w:lang w:val="de-DE"/>
              </w:rPr>
              <w:t xml:space="preserve"> für eine zuverlässige und drahtlose Übertragung der Monitormischungen</w:t>
            </w:r>
          </w:p>
        </w:tc>
        <w:tc>
          <w:tcPr>
            <w:tcW w:w="4756" w:type="dxa"/>
          </w:tcPr>
          <w:p w14:paraId="63F98D50" w14:textId="77777777" w:rsidR="00AF7025" w:rsidRPr="00D57198" w:rsidRDefault="00AF7025" w:rsidP="003D4A7B">
            <w:pPr>
              <w:rPr>
                <w:lang w:val="de-DE"/>
              </w:rPr>
            </w:pPr>
            <w:r>
              <w:rPr>
                <w:noProof/>
              </w:rPr>
              <w:drawing>
                <wp:inline distT="0" distB="0" distL="0" distR="0" wp14:anchorId="1601348D" wp14:editId="6440DB38">
                  <wp:extent cx="2946548" cy="1962148"/>
                  <wp:effectExtent l="0" t="0" r="6350" b="635"/>
                  <wp:docPr id="206946305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8" cstate="screen">
                            <a:extLst>
                              <a:ext uri="{28A0092B-C50C-407E-A947-70E740481C1C}">
                                <a14:useLocalDpi xmlns:a14="http://schemas.microsoft.com/office/drawing/2010/main"/>
                              </a:ext>
                            </a:extLst>
                          </a:blip>
                          <a:stretch>
                            <a:fillRect/>
                          </a:stretch>
                        </pic:blipFill>
                        <pic:spPr>
                          <a:xfrm>
                            <a:off x="0" y="0"/>
                            <a:ext cx="2946548" cy="1962148"/>
                          </a:xfrm>
                          <a:prstGeom prst="rect">
                            <a:avLst/>
                          </a:prstGeom>
                        </pic:spPr>
                      </pic:pic>
                    </a:graphicData>
                  </a:graphic>
                </wp:inline>
              </w:drawing>
            </w:r>
          </w:p>
        </w:tc>
      </w:tr>
    </w:tbl>
    <w:p w14:paraId="723E8E6E" w14:textId="77777777" w:rsidR="00AF7025" w:rsidRDefault="00AF7025" w:rsidP="009955C5">
      <w:pPr>
        <w:rPr>
          <w:lang w:val="de-DE"/>
        </w:rPr>
      </w:pPr>
    </w:p>
    <w:p w14:paraId="180D057B" w14:textId="1D956837" w:rsidR="00904CC2" w:rsidRDefault="00904CC2" w:rsidP="009955C5">
      <w:pPr>
        <w:rPr>
          <w:rFonts w:eastAsia="Times New Roman" w:cs="Times New Roman"/>
          <w:color w:val="333333"/>
          <w:szCs w:val="20"/>
          <w:lang w:val="de-DE" w:eastAsia="de-DE"/>
        </w:rPr>
      </w:pPr>
      <w:r w:rsidRPr="00904CC2">
        <w:rPr>
          <w:rFonts w:eastAsia="Times New Roman" w:cs="Times New Roman"/>
          <w:color w:val="333333"/>
          <w:szCs w:val="20"/>
          <w:lang w:val="de-DE" w:eastAsia="de-DE"/>
        </w:rPr>
        <w:t xml:space="preserve">„Letztes Jahr habe ich für eine andere Produktion einen </w:t>
      </w:r>
      <w:proofErr w:type="spellStart"/>
      <w:r w:rsidRPr="00904CC2">
        <w:rPr>
          <w:rFonts w:eastAsia="Times New Roman" w:cs="Times New Roman"/>
          <w:color w:val="333333"/>
          <w:szCs w:val="20"/>
          <w:lang w:val="de-DE" w:eastAsia="de-DE"/>
        </w:rPr>
        <w:t>Shoot</w:t>
      </w:r>
      <w:proofErr w:type="spellEnd"/>
      <w:r w:rsidRPr="00904CC2">
        <w:rPr>
          <w:rFonts w:eastAsia="Times New Roman" w:cs="Times New Roman"/>
          <w:color w:val="333333"/>
          <w:szCs w:val="20"/>
          <w:lang w:val="de-DE" w:eastAsia="de-DE"/>
        </w:rPr>
        <w:t>-out mit drei unterschiedlichen IEM-Drahtlossystemen durchgeführt“, berichtete Monitormischer Christian Orth. „Im direkten Vergleich konnte sich die Sennheiser 2000er-Serie klar durchsetzen, obwohl die Produkte ja bereits länger am Markt erhältlich sind. Die Sennheiser Systeme klangen für meine Ohren am besten: Während andere Lösungen auf mich zum Teil einen künstlichen bis sterilen Eindruck machten, wirkten die Sennheiser Strecken beispielsweise im Bereich der tiefen Frequenzen wesentlich wärmer</w:t>
      </w:r>
      <w:r w:rsidR="00937ADE">
        <w:rPr>
          <w:rFonts w:eastAsia="Times New Roman" w:cs="Times New Roman"/>
          <w:color w:val="333333"/>
          <w:szCs w:val="20"/>
          <w:lang w:val="de-DE" w:eastAsia="de-DE"/>
        </w:rPr>
        <w:t>.</w:t>
      </w:r>
      <w:r w:rsidRPr="00904CC2">
        <w:rPr>
          <w:rFonts w:eastAsia="Times New Roman" w:cs="Times New Roman"/>
          <w:color w:val="333333"/>
          <w:szCs w:val="20"/>
          <w:lang w:val="de-DE" w:eastAsia="de-DE"/>
        </w:rPr>
        <w:t xml:space="preserve"> </w:t>
      </w:r>
      <w:r w:rsidR="00937ADE">
        <w:rPr>
          <w:rFonts w:eastAsia="Times New Roman" w:cs="Times New Roman"/>
          <w:color w:val="333333"/>
          <w:szCs w:val="20"/>
          <w:lang w:val="de-DE" w:eastAsia="de-DE"/>
        </w:rPr>
        <w:t>E</w:t>
      </w:r>
      <w:r w:rsidRPr="00904CC2">
        <w:rPr>
          <w:rFonts w:eastAsia="Times New Roman" w:cs="Times New Roman"/>
          <w:color w:val="333333"/>
          <w:szCs w:val="20"/>
          <w:lang w:val="de-DE" w:eastAsia="de-DE"/>
        </w:rPr>
        <w:t>s ist schwer, den Klangeindruck in Worte zu fassen, aber vielleicht kann man sagen, dass das Klangbild insgesamt runder wirkte. Auch die Stereoabbildung war deutlich besser als bei den Wettbewerbern.“</w:t>
      </w:r>
    </w:p>
    <w:p w14:paraId="27875CCF" w14:textId="0F0036F6" w:rsidR="00AF7025" w:rsidRDefault="00AF7025" w:rsidP="009955C5">
      <w:pPr>
        <w:rPr>
          <w:rFonts w:eastAsia="Times New Roman" w:cs="Times New Roman"/>
          <w:color w:val="333333"/>
          <w:szCs w:val="20"/>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AF7025" w:rsidRPr="00BB0059" w14:paraId="752B624A" w14:textId="77777777" w:rsidTr="637C85B1">
        <w:tc>
          <w:tcPr>
            <w:tcW w:w="4390" w:type="dxa"/>
          </w:tcPr>
          <w:p w14:paraId="67C3D3E5" w14:textId="77777777" w:rsidR="00AF7025" w:rsidRPr="00855E0C" w:rsidRDefault="00AF7025" w:rsidP="003D4A7B">
            <w:pPr>
              <w:pStyle w:val="Beschriftung"/>
              <w:rPr>
                <w:lang w:val="de-DE"/>
              </w:rPr>
            </w:pPr>
            <w:r>
              <w:rPr>
                <w:noProof/>
              </w:rPr>
              <w:drawing>
                <wp:inline distT="0" distB="0" distL="0" distR="0" wp14:anchorId="1C66A8C5" wp14:editId="1606F8BC">
                  <wp:extent cx="2703049" cy="1799998"/>
                  <wp:effectExtent l="0" t="0" r="2540" b="0"/>
                  <wp:docPr id="2911106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19" cstate="screen">
                            <a:extLst>
                              <a:ext uri="{28A0092B-C50C-407E-A947-70E740481C1C}">
                                <a14:useLocalDpi xmlns:a14="http://schemas.microsoft.com/office/drawing/2010/main"/>
                              </a:ext>
                            </a:extLst>
                          </a:blip>
                          <a:stretch>
                            <a:fillRect/>
                          </a:stretch>
                        </pic:blipFill>
                        <pic:spPr>
                          <a:xfrm>
                            <a:off x="0" y="0"/>
                            <a:ext cx="2703049" cy="1799998"/>
                          </a:xfrm>
                          <a:prstGeom prst="rect">
                            <a:avLst/>
                          </a:prstGeom>
                        </pic:spPr>
                      </pic:pic>
                    </a:graphicData>
                  </a:graphic>
                </wp:inline>
              </w:drawing>
            </w:r>
          </w:p>
        </w:tc>
        <w:tc>
          <w:tcPr>
            <w:tcW w:w="3480" w:type="dxa"/>
          </w:tcPr>
          <w:p w14:paraId="5EA4D926" w14:textId="07CBD4F5" w:rsidR="00AF7025" w:rsidRPr="00D85AB7" w:rsidRDefault="637C85B1" w:rsidP="637C85B1">
            <w:pPr>
              <w:pStyle w:val="Beschriftung"/>
              <w:spacing w:line="240" w:lineRule="auto"/>
              <w:rPr>
                <w:color w:val="000000" w:themeColor="text1"/>
                <w:lang w:val="de-DE"/>
              </w:rPr>
            </w:pPr>
            <w:r w:rsidRPr="00D85AB7">
              <w:rPr>
                <w:color w:val="000000" w:themeColor="text1"/>
                <w:lang w:val="de-DE"/>
              </w:rPr>
              <w:t>Die Signale wurden über zwei zirkular polarisierte A 5000-CP Wendelantennen abgestrahlt</w:t>
            </w:r>
          </w:p>
        </w:tc>
      </w:tr>
    </w:tbl>
    <w:p w14:paraId="36B563D6" w14:textId="77777777" w:rsidR="00AF7025" w:rsidRPr="00904CC2" w:rsidRDefault="00AF7025" w:rsidP="009955C5">
      <w:pPr>
        <w:rPr>
          <w:rFonts w:eastAsia="Times New Roman" w:cs="Times New Roman"/>
          <w:color w:val="333333"/>
          <w:szCs w:val="20"/>
          <w:lang w:val="de-DE" w:eastAsia="de-DE"/>
        </w:rPr>
      </w:pPr>
    </w:p>
    <w:p w14:paraId="2636E187" w14:textId="77777777" w:rsidR="00904CC2" w:rsidRDefault="00904CC2" w:rsidP="009955C5">
      <w:pPr>
        <w:rPr>
          <w:rFonts w:asciiTheme="majorHAnsi" w:eastAsia="Times New Roman" w:hAnsiTheme="majorHAnsi" w:cs="Times New Roman"/>
          <w:b/>
          <w:color w:val="333333"/>
          <w:szCs w:val="20"/>
          <w:lang w:val="de-DE" w:eastAsia="de-DE"/>
        </w:rPr>
      </w:pPr>
      <w:r w:rsidRPr="00904CC2">
        <w:rPr>
          <w:rFonts w:asciiTheme="majorHAnsi" w:eastAsia="Times New Roman" w:hAnsiTheme="majorHAnsi" w:cs="Times New Roman"/>
          <w:b/>
          <w:color w:val="333333"/>
          <w:szCs w:val="20"/>
          <w:lang w:val="de-DE" w:eastAsia="de-DE"/>
        </w:rPr>
        <w:t xml:space="preserve">Heimspiele für Herbert </w:t>
      </w:r>
    </w:p>
    <w:p w14:paraId="6AE4EAF5" w14:textId="77777777" w:rsidR="00904CC2" w:rsidRPr="00904CC2" w:rsidRDefault="00904CC2" w:rsidP="00904CC2">
      <w:pPr>
        <w:rPr>
          <w:lang w:val="de-DE" w:eastAsia="de-DE"/>
        </w:rPr>
      </w:pPr>
      <w:r w:rsidRPr="00904CC2">
        <w:rPr>
          <w:lang w:val="de-DE" w:eastAsia="de-DE"/>
        </w:rPr>
        <w:t xml:space="preserve">Anfang September 2019 begeisterten Herbert Grönemeyer und seine Band die Fans in der ausverkauften Berliner Waldbühne an gleich zwei Abenden hintereinander: Altbekannte Hits </w:t>
      </w:r>
      <w:r w:rsidRPr="00904CC2">
        <w:rPr>
          <w:lang w:val="de-DE" w:eastAsia="de-DE"/>
        </w:rPr>
        <w:lastRenderedPageBreak/>
        <w:t>wurden ebenso wie neue Songs des Albums „Tumult“ bei angenehmem Spätsommerwetter in der einzigartigen Atmosphäre der beliebten hauptstädtischen Freiluft-Location vieltausendstimmig mitgesungen – Gänsehaut und große Emotionen prägten das fast dreistündige Konzertprogramm.</w:t>
      </w:r>
    </w:p>
    <w:p w14:paraId="1AF1589D" w14:textId="77777777" w:rsidR="00937ADE" w:rsidRDefault="00937ADE" w:rsidP="00904CC2">
      <w:pPr>
        <w:rPr>
          <w:lang w:val="de-DE" w:eastAsia="de-DE"/>
        </w:rPr>
      </w:pPr>
    </w:p>
    <w:p w14:paraId="6B16A439" w14:textId="259C6A76" w:rsidR="00904CC2" w:rsidRPr="00904CC2" w:rsidRDefault="00904CC2" w:rsidP="00904CC2">
      <w:pPr>
        <w:rPr>
          <w:lang w:val="de-DE" w:eastAsia="de-DE"/>
        </w:rPr>
      </w:pPr>
      <w:r w:rsidRPr="00904CC2">
        <w:rPr>
          <w:lang w:val="de-DE" w:eastAsia="de-DE"/>
        </w:rPr>
        <w:t xml:space="preserve">Die Show-Dramaturgie war perfekt, wirkte aber nie routiniert oder aufgesetzt, und zwischen den Liedern fand der politisch engagierte Sänger klare Worte zur Lage der Nation. Mit viel Freude und in bester Spiellaune präsentierte sich die Band; ihr Können zeigten Schlagzeuger Armin Rühl, Bassist Norbert Hamm, die Gitarristen Jakob </w:t>
      </w:r>
      <w:proofErr w:type="spellStart"/>
      <w:r w:rsidRPr="00904CC2">
        <w:rPr>
          <w:lang w:val="de-DE" w:eastAsia="de-DE"/>
        </w:rPr>
        <w:t>Hansonis</w:t>
      </w:r>
      <w:proofErr w:type="spellEnd"/>
      <w:r w:rsidRPr="00904CC2">
        <w:rPr>
          <w:lang w:val="de-DE" w:eastAsia="de-DE"/>
        </w:rPr>
        <w:t xml:space="preserve"> und Stephan </w:t>
      </w:r>
      <w:proofErr w:type="spellStart"/>
      <w:r w:rsidRPr="00904CC2">
        <w:rPr>
          <w:lang w:val="de-DE" w:eastAsia="de-DE"/>
        </w:rPr>
        <w:t>Zobeley</w:t>
      </w:r>
      <w:proofErr w:type="spellEnd"/>
      <w:r w:rsidRPr="00904CC2">
        <w:rPr>
          <w:lang w:val="de-DE" w:eastAsia="de-DE"/>
        </w:rPr>
        <w:t xml:space="preserve"> sowie Keyboarder Alfred </w:t>
      </w:r>
      <w:proofErr w:type="spellStart"/>
      <w:r w:rsidRPr="00904CC2">
        <w:rPr>
          <w:lang w:val="de-DE" w:eastAsia="de-DE"/>
        </w:rPr>
        <w:t>Kritzer</w:t>
      </w:r>
      <w:proofErr w:type="spellEnd"/>
      <w:r w:rsidRPr="00904CC2">
        <w:rPr>
          <w:lang w:val="de-DE" w:eastAsia="de-DE"/>
        </w:rPr>
        <w:t xml:space="preserve"> und Saxo</w:t>
      </w:r>
      <w:r w:rsidR="006A037A">
        <w:rPr>
          <w:lang w:val="de-DE" w:eastAsia="de-DE"/>
        </w:rPr>
        <w:t>f</w:t>
      </w:r>
      <w:bookmarkStart w:id="1" w:name="_GoBack"/>
      <w:bookmarkEnd w:id="1"/>
      <w:r w:rsidRPr="00904CC2">
        <w:rPr>
          <w:lang w:val="de-DE" w:eastAsia="de-DE"/>
        </w:rPr>
        <w:t>onist Frank Kirchner. Für Herbert Grönemeyer als im Ruhrgebiet aufgewachsenen Wahlberliner waren die Konzerte in der Waldbühne Heimspiele, welche er auf dem Podium sichtlich genoss.</w:t>
      </w:r>
    </w:p>
    <w:p w14:paraId="56F98AA3" w14:textId="77777777" w:rsidR="00937ADE" w:rsidRDefault="00937ADE" w:rsidP="009955C5">
      <w:pPr>
        <w:rPr>
          <w:lang w:val="de-DE" w:eastAsia="de-DE"/>
        </w:rPr>
      </w:pPr>
    </w:p>
    <w:p w14:paraId="0A5DF7B9" w14:textId="37E13D4D" w:rsidR="009E6A34" w:rsidRPr="0094396A" w:rsidRDefault="00904CC2" w:rsidP="009955C5">
      <w:pPr>
        <w:rPr>
          <w:lang w:val="de-DE" w:eastAsia="de-DE"/>
        </w:rPr>
      </w:pPr>
      <w:r w:rsidRPr="00904CC2">
        <w:rPr>
          <w:lang w:val="de-DE" w:eastAsia="de-DE"/>
        </w:rPr>
        <w:t xml:space="preserve">„Der Gesang von Herbert Grönemeyer wird mit der Kombination aus digitalem Sennheiser SKM 6000 Handsender und der Neumann KK 204 Kapsel bei bester Sprachverständlichkeit nuanciert, dynamisch und sehr musikalisch in Premium-Klangqualität übertragen“, kommentierte Thomas Holz, Sennheiser Business </w:t>
      </w:r>
      <w:proofErr w:type="spellStart"/>
      <w:r w:rsidRPr="00904CC2">
        <w:rPr>
          <w:lang w:val="de-DE" w:eastAsia="de-DE"/>
        </w:rPr>
        <w:t>Specialist</w:t>
      </w:r>
      <w:proofErr w:type="spellEnd"/>
      <w:r w:rsidRPr="00904CC2">
        <w:rPr>
          <w:lang w:val="de-DE" w:eastAsia="de-DE"/>
        </w:rPr>
        <w:t xml:space="preserve"> Touring &amp; Rental, nach einem Konzertbesuch in der Berliner Waldbühne.</w:t>
      </w:r>
    </w:p>
    <w:p w14:paraId="03563476" w14:textId="77777777" w:rsidR="00605D05" w:rsidRDefault="00605D05" w:rsidP="00D04DA7">
      <w:pPr>
        <w:pStyle w:val="About"/>
        <w:rPr>
          <w:b/>
          <w:noProof/>
          <w:lang w:val="de-DE"/>
        </w:rPr>
      </w:pPr>
    </w:p>
    <w:p w14:paraId="7DEFAD5B" w14:textId="77777777" w:rsidR="00937ADE" w:rsidRDefault="00937ADE" w:rsidP="00D04DA7">
      <w:pPr>
        <w:pStyle w:val="About"/>
        <w:rPr>
          <w:b/>
          <w:noProof/>
          <w:lang w:val="de-DE"/>
        </w:rPr>
      </w:pPr>
    </w:p>
    <w:p w14:paraId="4B7F8EE2" w14:textId="77777777" w:rsidR="00937ADE" w:rsidRDefault="00937ADE" w:rsidP="00D04DA7">
      <w:pPr>
        <w:pStyle w:val="About"/>
        <w:rPr>
          <w:b/>
          <w:noProof/>
          <w:lang w:val="de-DE"/>
        </w:rPr>
      </w:pPr>
    </w:p>
    <w:p w14:paraId="3E8028F9" w14:textId="6EDA65C8" w:rsidR="00D04DA7" w:rsidRDefault="00D04DA7" w:rsidP="00D04DA7">
      <w:pPr>
        <w:pStyle w:val="About"/>
        <w:rPr>
          <w:b/>
          <w:noProof/>
          <w:lang w:val="de-DE"/>
        </w:rPr>
      </w:pPr>
      <w:r>
        <w:rPr>
          <w:b/>
          <w:noProof/>
          <w:lang w:val="de-DE"/>
        </w:rPr>
        <w:t>Über Sennheiser</w:t>
      </w:r>
    </w:p>
    <w:p w14:paraId="55B0B119" w14:textId="77777777" w:rsidR="00D04DA7" w:rsidRPr="00C96445" w:rsidRDefault="00D04DA7" w:rsidP="00D04DA7">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7686E159" w14:textId="77777777" w:rsidR="00D04DA7" w:rsidRDefault="00D04DA7" w:rsidP="00D04DA7">
      <w:pPr>
        <w:pStyle w:val="Contact"/>
        <w:rPr>
          <w:b/>
          <w:noProof/>
          <w:lang w:val="de-DE"/>
        </w:rPr>
      </w:pPr>
    </w:p>
    <w:p w14:paraId="2F80084C" w14:textId="77777777" w:rsidR="00D04DA7" w:rsidRDefault="00D04DA7" w:rsidP="00D04DA7">
      <w:pPr>
        <w:pStyle w:val="Contact"/>
        <w:rPr>
          <w:b/>
          <w:noProof/>
          <w:lang w:val="de-DE"/>
        </w:rPr>
      </w:pPr>
    </w:p>
    <w:p w14:paraId="5DCB13EA" w14:textId="77777777" w:rsidR="00D04DA7" w:rsidRPr="000E717A" w:rsidRDefault="00D04DA7" w:rsidP="00D04DA7">
      <w:pPr>
        <w:pStyle w:val="Contact"/>
        <w:rPr>
          <w:b/>
          <w:noProof/>
          <w:lang w:val="de-DE"/>
        </w:rPr>
      </w:pPr>
      <w:r>
        <w:rPr>
          <w:b/>
          <w:noProof/>
          <w:lang w:val="de-DE"/>
        </w:rPr>
        <w:t>Sennheiser</w:t>
      </w:r>
      <w:r w:rsidRPr="000E717A">
        <w:rPr>
          <w:b/>
          <w:noProof/>
          <w:lang w:val="de-DE"/>
        </w:rPr>
        <w:t xml:space="preserve"> Pressekontakt</w:t>
      </w:r>
    </w:p>
    <w:p w14:paraId="52C7DCB6" w14:textId="77777777" w:rsidR="00D04DA7" w:rsidRPr="000E717A" w:rsidRDefault="00D04DA7" w:rsidP="00D04DA7">
      <w:pPr>
        <w:pStyle w:val="Contact"/>
        <w:rPr>
          <w:noProof/>
          <w:lang w:val="de-DE"/>
        </w:rPr>
      </w:pPr>
    </w:p>
    <w:p w14:paraId="586B10C0" w14:textId="77777777" w:rsidR="00D04DA7" w:rsidRPr="000E717A" w:rsidRDefault="00D04DA7" w:rsidP="00D04DA7">
      <w:pPr>
        <w:pStyle w:val="Contact"/>
        <w:rPr>
          <w:noProof/>
          <w:color w:val="0095D5"/>
          <w:lang w:val="de-DE"/>
        </w:rPr>
      </w:pPr>
      <w:r w:rsidRPr="000E717A">
        <w:rPr>
          <w:noProof/>
          <w:color w:val="0095D5"/>
          <w:lang w:val="de-DE"/>
        </w:rPr>
        <w:t>Stefan Peters</w:t>
      </w:r>
      <w:r w:rsidRPr="000E717A">
        <w:rPr>
          <w:noProof/>
          <w:color w:val="0095D5"/>
          <w:lang w:val="de-DE"/>
        </w:rPr>
        <w:tab/>
      </w:r>
    </w:p>
    <w:p w14:paraId="1E6E7F67" w14:textId="77777777" w:rsidR="00D04DA7" w:rsidRPr="000E717A" w:rsidRDefault="00D04DA7" w:rsidP="00D04DA7">
      <w:pPr>
        <w:pStyle w:val="Contact"/>
        <w:rPr>
          <w:noProof/>
          <w:lang w:val="de-DE"/>
        </w:rPr>
      </w:pPr>
      <w:r w:rsidRPr="000E717A">
        <w:rPr>
          <w:noProof/>
          <w:lang w:val="de-DE"/>
        </w:rPr>
        <w:t>stefan.peters@sennheiser.com</w:t>
      </w:r>
      <w:r w:rsidRPr="000E717A">
        <w:rPr>
          <w:noProof/>
          <w:lang w:val="de-DE"/>
        </w:rPr>
        <w:tab/>
      </w:r>
    </w:p>
    <w:p w14:paraId="5F811B5F" w14:textId="77777777" w:rsidR="00605D05" w:rsidRDefault="00D04DA7" w:rsidP="0094396A">
      <w:pPr>
        <w:pStyle w:val="Contact"/>
        <w:rPr>
          <w:noProof/>
          <w:lang w:val="de-DE"/>
        </w:rPr>
      </w:pPr>
      <w:r w:rsidRPr="000E717A">
        <w:rPr>
          <w:noProof/>
          <w:lang w:val="de-DE"/>
        </w:rPr>
        <w:t>+49 0(5130) 600 – 1026</w:t>
      </w:r>
    </w:p>
    <w:p w14:paraId="6E653E21" w14:textId="77777777" w:rsidR="00605D05" w:rsidRDefault="00605D05" w:rsidP="0094396A">
      <w:pPr>
        <w:pStyle w:val="Contact"/>
        <w:rPr>
          <w:noProof/>
          <w:lang w:val="de-DE"/>
        </w:rPr>
      </w:pPr>
    </w:p>
    <w:p w14:paraId="2D420157" w14:textId="7703F89B" w:rsidR="00DD28B4" w:rsidRPr="00622B0B" w:rsidRDefault="00D04DA7" w:rsidP="0094396A">
      <w:pPr>
        <w:pStyle w:val="Contact"/>
        <w:rPr>
          <w:noProof/>
          <w:lang w:val="de-DE"/>
        </w:rPr>
      </w:pPr>
      <w:r w:rsidRPr="000E717A">
        <w:rPr>
          <w:noProof/>
          <w:lang w:val="de-DE"/>
        </w:rPr>
        <w:tab/>
      </w:r>
      <w:r w:rsidRPr="0078586E">
        <w:rPr>
          <w:lang w:val="de-DE"/>
        </w:rPr>
        <w:t xml:space="preserve"> </w:t>
      </w:r>
    </w:p>
    <w:sectPr w:rsidR="00DD28B4" w:rsidRPr="00622B0B" w:rsidSect="008E5D5C">
      <w:headerReference w:type="default" r:id="rId20"/>
      <w:headerReference w:type="first" r:id="rId21"/>
      <w:footerReference w:type="first" r:id="rId2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7DC27" w14:textId="77777777" w:rsidR="00CA78FF" w:rsidRDefault="00CA78FF" w:rsidP="00CA1EB9">
      <w:pPr>
        <w:spacing w:line="240" w:lineRule="auto"/>
      </w:pPr>
      <w:r>
        <w:separator/>
      </w:r>
    </w:p>
  </w:endnote>
  <w:endnote w:type="continuationSeparator" w:id="0">
    <w:p w14:paraId="43F76B74" w14:textId="77777777" w:rsidR="00CA78FF" w:rsidRDefault="00CA78F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7499F4E4-B692-442B-BAEC-FC07B0CD3F03}"/>
    <w:embedBold r:id="rId2" w:fontKey="{B5386CBB-AC87-4E23-8F34-F3D30455F1C2}"/>
    <w:embedBoldItalic r:id="rId3" w:fontKey="{2F51D1BD-CE0E-4040-8E90-CDDB5E63C959}"/>
  </w:font>
  <w:font w:name="Tahoma">
    <w:panose1 w:val="020B0604030504040204"/>
    <w:charset w:val="00"/>
    <w:family w:val="swiss"/>
    <w:pitch w:val="variable"/>
    <w:sig w:usb0="E1002EFF" w:usb1="C000605B" w:usb2="00000029" w:usb3="00000000" w:csb0="000101FF" w:csb1="00000000"/>
    <w:embedRegular r:id="rId4" w:fontKey="{8AD9A698-DF9D-4FC7-8156-7E2ACB12A134}"/>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altName w:val="Calibri"/>
    <w:charset w:val="00"/>
    <w:family w:val="swiss"/>
    <w:pitch w:val="variable"/>
    <w:sig w:usb0="8000002F" w:usb1="1000004A" w:usb2="00000000" w:usb3="00000000" w:csb0="0000001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250A" w14:textId="77777777" w:rsidR="00695F01" w:rsidRDefault="00695F01">
    <w:pPr>
      <w:pStyle w:val="Fuzeile"/>
    </w:pPr>
    <w:r>
      <w:rPr>
        <w:noProof/>
        <w:lang w:val="en-US"/>
      </w:rPr>
      <w:drawing>
        <wp:anchor distT="0" distB="0" distL="114300" distR="114300" simplePos="0" relativeHeight="251673600" behindDoc="0" locked="1" layoutInCell="1" allowOverlap="1" wp14:anchorId="2F93F40D" wp14:editId="5A06653F">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08527" w14:textId="77777777" w:rsidR="00CA78FF" w:rsidRDefault="00CA78FF" w:rsidP="00CA1EB9">
      <w:pPr>
        <w:spacing w:line="240" w:lineRule="auto"/>
      </w:pPr>
      <w:r>
        <w:separator/>
      </w:r>
    </w:p>
  </w:footnote>
  <w:footnote w:type="continuationSeparator" w:id="0">
    <w:p w14:paraId="2CE1B1AA" w14:textId="77777777" w:rsidR="00CA78FF" w:rsidRDefault="00CA78F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A77C" w14:textId="0ED684BD"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419F589E" wp14:editId="191780D0">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70CC3468" w14:textId="77777777" w:rsidR="00695F01" w:rsidRPr="008E5D5C" w:rsidRDefault="00FC2259" w:rsidP="008E5D5C">
    <w:pPr>
      <w:pStyle w:val="Kopfzeile"/>
    </w:pPr>
    <w:r>
      <w:fldChar w:fldCharType="begin"/>
    </w:r>
    <w:r>
      <w:instrText xml:space="preserve"> PAGE  \* Arabic  \* MERGEFORMAT </w:instrText>
    </w:r>
    <w:r>
      <w:fldChar w:fldCharType="separate"/>
    </w:r>
    <w:r w:rsidR="00825897">
      <w:rPr>
        <w:noProof/>
      </w:rPr>
      <w:t>4</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825897">
      <w:rPr>
        <w:noProof/>
      </w:rPr>
      <w:t>4</w:t>
    </w:r>
    <w:r w:rsidR="00FA5B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E466" w14:textId="7555217A"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5B5761E" wp14:editId="0D812C7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0802FCD1" w14:textId="77777777" w:rsidR="00695F01" w:rsidRPr="008E5D5C" w:rsidRDefault="00FC2259" w:rsidP="008E5D5C">
    <w:pPr>
      <w:pStyle w:val="Kopfzeile"/>
    </w:pPr>
    <w:r>
      <w:fldChar w:fldCharType="begin"/>
    </w:r>
    <w:r>
      <w:instrText xml:space="preserve"> PAGE  \* Arabic  \* MERGEFORMAT </w:instrText>
    </w:r>
    <w:r>
      <w:fldChar w:fldCharType="separate"/>
    </w:r>
    <w:r w:rsidR="009B1DB9">
      <w:rPr>
        <w:noProof/>
      </w:rPr>
      <w:t>1</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9B1DB9">
      <w:rPr>
        <w:noProof/>
      </w:rPr>
      <w:t>4</w:t>
    </w:r>
    <w:r w:rsidR="00FA5B8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0E55"/>
    <w:multiLevelType w:val="hybridMultilevel"/>
    <w:tmpl w:val="FF260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A6322D"/>
    <w:multiLevelType w:val="hybridMultilevel"/>
    <w:tmpl w:val="6F74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E87E3C"/>
    <w:multiLevelType w:val="hybridMultilevel"/>
    <w:tmpl w:val="386CD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A37572"/>
    <w:multiLevelType w:val="hybridMultilevel"/>
    <w:tmpl w:val="B338E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E92A02"/>
    <w:multiLevelType w:val="hybridMultilevel"/>
    <w:tmpl w:val="99D4E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6DCB"/>
    <w:rsid w:val="000244BD"/>
    <w:rsid w:val="00030808"/>
    <w:rsid w:val="00054C9E"/>
    <w:rsid w:val="00056665"/>
    <w:rsid w:val="00075826"/>
    <w:rsid w:val="0008260F"/>
    <w:rsid w:val="00097515"/>
    <w:rsid w:val="000B036E"/>
    <w:rsid w:val="000C16C6"/>
    <w:rsid w:val="000F21F1"/>
    <w:rsid w:val="00100A93"/>
    <w:rsid w:val="00105DDC"/>
    <w:rsid w:val="00112C8D"/>
    <w:rsid w:val="00121501"/>
    <w:rsid w:val="00132275"/>
    <w:rsid w:val="001324A7"/>
    <w:rsid w:val="0014006E"/>
    <w:rsid w:val="00144A15"/>
    <w:rsid w:val="0017152F"/>
    <w:rsid w:val="00182FEA"/>
    <w:rsid w:val="00186D04"/>
    <w:rsid w:val="00186EE2"/>
    <w:rsid w:val="001937CF"/>
    <w:rsid w:val="001965CE"/>
    <w:rsid w:val="001B46A8"/>
    <w:rsid w:val="001C1474"/>
    <w:rsid w:val="001C63D8"/>
    <w:rsid w:val="001D4E25"/>
    <w:rsid w:val="001D646E"/>
    <w:rsid w:val="001F3001"/>
    <w:rsid w:val="00201BCD"/>
    <w:rsid w:val="002057CE"/>
    <w:rsid w:val="00206C05"/>
    <w:rsid w:val="002203E8"/>
    <w:rsid w:val="0022379B"/>
    <w:rsid w:val="00225F0B"/>
    <w:rsid w:val="00227A04"/>
    <w:rsid w:val="00261ED8"/>
    <w:rsid w:val="00273A1F"/>
    <w:rsid w:val="00276590"/>
    <w:rsid w:val="00282A8D"/>
    <w:rsid w:val="00286C75"/>
    <w:rsid w:val="00296503"/>
    <w:rsid w:val="002A261E"/>
    <w:rsid w:val="002C2812"/>
    <w:rsid w:val="002C4FD6"/>
    <w:rsid w:val="002C6F4D"/>
    <w:rsid w:val="002D19CF"/>
    <w:rsid w:val="002D66AA"/>
    <w:rsid w:val="002E415C"/>
    <w:rsid w:val="002F37DF"/>
    <w:rsid w:val="002F485F"/>
    <w:rsid w:val="002F57CE"/>
    <w:rsid w:val="002F6E3D"/>
    <w:rsid w:val="00307132"/>
    <w:rsid w:val="00311C6F"/>
    <w:rsid w:val="00317D8B"/>
    <w:rsid w:val="003236F2"/>
    <w:rsid w:val="00326FB8"/>
    <w:rsid w:val="00330B08"/>
    <w:rsid w:val="00341B7C"/>
    <w:rsid w:val="003547A3"/>
    <w:rsid w:val="00355492"/>
    <w:rsid w:val="0037220A"/>
    <w:rsid w:val="00375ACD"/>
    <w:rsid w:val="003A118C"/>
    <w:rsid w:val="003B6330"/>
    <w:rsid w:val="003D06A1"/>
    <w:rsid w:val="003D4296"/>
    <w:rsid w:val="003E3F5C"/>
    <w:rsid w:val="003E5D77"/>
    <w:rsid w:val="003F33CF"/>
    <w:rsid w:val="0040059F"/>
    <w:rsid w:val="0040410E"/>
    <w:rsid w:val="00407687"/>
    <w:rsid w:val="00433002"/>
    <w:rsid w:val="004368C0"/>
    <w:rsid w:val="00453B3E"/>
    <w:rsid w:val="00454836"/>
    <w:rsid w:val="00482B04"/>
    <w:rsid w:val="004A7066"/>
    <w:rsid w:val="004D2862"/>
    <w:rsid w:val="004D5C31"/>
    <w:rsid w:val="004D7460"/>
    <w:rsid w:val="004D7F11"/>
    <w:rsid w:val="004E1375"/>
    <w:rsid w:val="004E69CA"/>
    <w:rsid w:val="00520FB1"/>
    <w:rsid w:val="00521FBE"/>
    <w:rsid w:val="00523449"/>
    <w:rsid w:val="005327DB"/>
    <w:rsid w:val="005441A1"/>
    <w:rsid w:val="005444CD"/>
    <w:rsid w:val="00553A65"/>
    <w:rsid w:val="00561F47"/>
    <w:rsid w:val="0056312B"/>
    <w:rsid w:val="00577AF9"/>
    <w:rsid w:val="00595C3A"/>
    <w:rsid w:val="005A2435"/>
    <w:rsid w:val="005A4678"/>
    <w:rsid w:val="005A6F00"/>
    <w:rsid w:val="005B0436"/>
    <w:rsid w:val="005C1F67"/>
    <w:rsid w:val="005C7BB3"/>
    <w:rsid w:val="005D571F"/>
    <w:rsid w:val="005E397C"/>
    <w:rsid w:val="005E4A41"/>
    <w:rsid w:val="005F5823"/>
    <w:rsid w:val="0060142B"/>
    <w:rsid w:val="00605D05"/>
    <w:rsid w:val="006108B6"/>
    <w:rsid w:val="00612170"/>
    <w:rsid w:val="00614816"/>
    <w:rsid w:val="00622B0B"/>
    <w:rsid w:val="006230E6"/>
    <w:rsid w:val="0062691E"/>
    <w:rsid w:val="0063235B"/>
    <w:rsid w:val="0064392C"/>
    <w:rsid w:val="00653796"/>
    <w:rsid w:val="00656776"/>
    <w:rsid w:val="00662E05"/>
    <w:rsid w:val="00670C73"/>
    <w:rsid w:val="00675CA7"/>
    <w:rsid w:val="00682A62"/>
    <w:rsid w:val="00695F01"/>
    <w:rsid w:val="006A037A"/>
    <w:rsid w:val="006A7901"/>
    <w:rsid w:val="006D7DD5"/>
    <w:rsid w:val="006E7C88"/>
    <w:rsid w:val="006F058F"/>
    <w:rsid w:val="00703C95"/>
    <w:rsid w:val="007054ED"/>
    <w:rsid w:val="007103C8"/>
    <w:rsid w:val="0071600A"/>
    <w:rsid w:val="007237E9"/>
    <w:rsid w:val="007311EB"/>
    <w:rsid w:val="0073282A"/>
    <w:rsid w:val="00732897"/>
    <w:rsid w:val="0076313D"/>
    <w:rsid w:val="007655EA"/>
    <w:rsid w:val="00766E21"/>
    <w:rsid w:val="0077228E"/>
    <w:rsid w:val="00780B67"/>
    <w:rsid w:val="00792CD4"/>
    <w:rsid w:val="00793A90"/>
    <w:rsid w:val="007A7D01"/>
    <w:rsid w:val="007C1577"/>
    <w:rsid w:val="007C4F79"/>
    <w:rsid w:val="007F2BDC"/>
    <w:rsid w:val="00806E64"/>
    <w:rsid w:val="00813B08"/>
    <w:rsid w:val="00825897"/>
    <w:rsid w:val="00826A5F"/>
    <w:rsid w:val="00834B2E"/>
    <w:rsid w:val="008364A5"/>
    <w:rsid w:val="00837117"/>
    <w:rsid w:val="00862561"/>
    <w:rsid w:val="0086535A"/>
    <w:rsid w:val="00877240"/>
    <w:rsid w:val="00880864"/>
    <w:rsid w:val="00896BCA"/>
    <w:rsid w:val="008A1CC3"/>
    <w:rsid w:val="008C2033"/>
    <w:rsid w:val="008D6CAB"/>
    <w:rsid w:val="008E5D5C"/>
    <w:rsid w:val="00900DA0"/>
    <w:rsid w:val="00904CC2"/>
    <w:rsid w:val="0093014B"/>
    <w:rsid w:val="009302B0"/>
    <w:rsid w:val="009320A9"/>
    <w:rsid w:val="00937ADE"/>
    <w:rsid w:val="0094085A"/>
    <w:rsid w:val="0094396A"/>
    <w:rsid w:val="00945D7A"/>
    <w:rsid w:val="0096404E"/>
    <w:rsid w:val="0097032E"/>
    <w:rsid w:val="00977493"/>
    <w:rsid w:val="009809FA"/>
    <w:rsid w:val="0099085F"/>
    <w:rsid w:val="00994C7B"/>
    <w:rsid w:val="009955C5"/>
    <w:rsid w:val="009A0C63"/>
    <w:rsid w:val="009B1DB9"/>
    <w:rsid w:val="009C44B5"/>
    <w:rsid w:val="009C45A2"/>
    <w:rsid w:val="009D620C"/>
    <w:rsid w:val="009D6AD5"/>
    <w:rsid w:val="009E05D8"/>
    <w:rsid w:val="009E6432"/>
    <w:rsid w:val="009E6952"/>
    <w:rsid w:val="009E6A34"/>
    <w:rsid w:val="009F5DA1"/>
    <w:rsid w:val="00A40CCC"/>
    <w:rsid w:val="00A4127A"/>
    <w:rsid w:val="00A51111"/>
    <w:rsid w:val="00A52224"/>
    <w:rsid w:val="00A5686E"/>
    <w:rsid w:val="00A637E9"/>
    <w:rsid w:val="00A747D3"/>
    <w:rsid w:val="00A81178"/>
    <w:rsid w:val="00A81DBB"/>
    <w:rsid w:val="00A86653"/>
    <w:rsid w:val="00A90D38"/>
    <w:rsid w:val="00A96082"/>
    <w:rsid w:val="00AA5D09"/>
    <w:rsid w:val="00AB0C5A"/>
    <w:rsid w:val="00AB48ED"/>
    <w:rsid w:val="00AB5767"/>
    <w:rsid w:val="00AC4E77"/>
    <w:rsid w:val="00AD75E0"/>
    <w:rsid w:val="00AE0EF3"/>
    <w:rsid w:val="00AE2057"/>
    <w:rsid w:val="00AF0C90"/>
    <w:rsid w:val="00AF7025"/>
    <w:rsid w:val="00B02268"/>
    <w:rsid w:val="00B11C2B"/>
    <w:rsid w:val="00B20E88"/>
    <w:rsid w:val="00B277B6"/>
    <w:rsid w:val="00B45DB3"/>
    <w:rsid w:val="00B476AD"/>
    <w:rsid w:val="00B56351"/>
    <w:rsid w:val="00B66201"/>
    <w:rsid w:val="00B93061"/>
    <w:rsid w:val="00BB0059"/>
    <w:rsid w:val="00BB0F5C"/>
    <w:rsid w:val="00BB1ECA"/>
    <w:rsid w:val="00BB330D"/>
    <w:rsid w:val="00BC1AFB"/>
    <w:rsid w:val="00BD277B"/>
    <w:rsid w:val="00BD6359"/>
    <w:rsid w:val="00C003CF"/>
    <w:rsid w:val="00C029FB"/>
    <w:rsid w:val="00C05063"/>
    <w:rsid w:val="00C05BEE"/>
    <w:rsid w:val="00C147E5"/>
    <w:rsid w:val="00C15DD0"/>
    <w:rsid w:val="00C24DAB"/>
    <w:rsid w:val="00C40202"/>
    <w:rsid w:val="00C421C1"/>
    <w:rsid w:val="00C47AFA"/>
    <w:rsid w:val="00C66075"/>
    <w:rsid w:val="00C76DD8"/>
    <w:rsid w:val="00C80555"/>
    <w:rsid w:val="00C8099E"/>
    <w:rsid w:val="00C83951"/>
    <w:rsid w:val="00C91ACD"/>
    <w:rsid w:val="00CA1EB9"/>
    <w:rsid w:val="00CA543E"/>
    <w:rsid w:val="00CA78FF"/>
    <w:rsid w:val="00CB5F9D"/>
    <w:rsid w:val="00CB6CCE"/>
    <w:rsid w:val="00CC06C6"/>
    <w:rsid w:val="00CD4FCE"/>
    <w:rsid w:val="00CD5497"/>
    <w:rsid w:val="00CE5137"/>
    <w:rsid w:val="00CF2B77"/>
    <w:rsid w:val="00D0201D"/>
    <w:rsid w:val="00D04DA7"/>
    <w:rsid w:val="00D22EA6"/>
    <w:rsid w:val="00D4086C"/>
    <w:rsid w:val="00D4630F"/>
    <w:rsid w:val="00D54C8A"/>
    <w:rsid w:val="00D644ED"/>
    <w:rsid w:val="00D666EE"/>
    <w:rsid w:val="00D85AB7"/>
    <w:rsid w:val="00D87B31"/>
    <w:rsid w:val="00DA738B"/>
    <w:rsid w:val="00DB6018"/>
    <w:rsid w:val="00DC5E0E"/>
    <w:rsid w:val="00DC69CF"/>
    <w:rsid w:val="00DD28B4"/>
    <w:rsid w:val="00DF1B15"/>
    <w:rsid w:val="00DF7B7B"/>
    <w:rsid w:val="00E101AB"/>
    <w:rsid w:val="00E1528A"/>
    <w:rsid w:val="00E16488"/>
    <w:rsid w:val="00E21887"/>
    <w:rsid w:val="00E233E0"/>
    <w:rsid w:val="00E24C4E"/>
    <w:rsid w:val="00E42C92"/>
    <w:rsid w:val="00E46EE0"/>
    <w:rsid w:val="00E47856"/>
    <w:rsid w:val="00E507A3"/>
    <w:rsid w:val="00E51CFE"/>
    <w:rsid w:val="00E56063"/>
    <w:rsid w:val="00E908F2"/>
    <w:rsid w:val="00EB4595"/>
    <w:rsid w:val="00EB6084"/>
    <w:rsid w:val="00EC576E"/>
    <w:rsid w:val="00EE3252"/>
    <w:rsid w:val="00EE51D1"/>
    <w:rsid w:val="00F04234"/>
    <w:rsid w:val="00F066D3"/>
    <w:rsid w:val="00F26877"/>
    <w:rsid w:val="00F33E2F"/>
    <w:rsid w:val="00F36283"/>
    <w:rsid w:val="00F42235"/>
    <w:rsid w:val="00F45AA6"/>
    <w:rsid w:val="00F45F5C"/>
    <w:rsid w:val="00F51D7D"/>
    <w:rsid w:val="00F6043C"/>
    <w:rsid w:val="00F63DC4"/>
    <w:rsid w:val="00F63E1E"/>
    <w:rsid w:val="00F75316"/>
    <w:rsid w:val="00F756AB"/>
    <w:rsid w:val="00F758E1"/>
    <w:rsid w:val="00FA36D5"/>
    <w:rsid w:val="00FA5B88"/>
    <w:rsid w:val="00FA5BEA"/>
    <w:rsid w:val="00FA63C3"/>
    <w:rsid w:val="00FB7038"/>
    <w:rsid w:val="00FC2259"/>
    <w:rsid w:val="00FD66B1"/>
    <w:rsid w:val="00FD69BF"/>
    <w:rsid w:val="00FE3A4E"/>
    <w:rsid w:val="00FE5DE3"/>
    <w:rsid w:val="00FF0855"/>
    <w:rsid w:val="0FC7B43B"/>
    <w:rsid w:val="5CAEAAAE"/>
    <w:rsid w:val="637C85B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5E4C873"/>
  <w15:docId w15:val="{285B6622-B490-4CF1-9067-F5CD5345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A6F0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6F00"/>
    <w:rPr>
      <w:rFonts w:ascii="Tahoma" w:hAnsi="Tahoma" w:cs="Tahoma"/>
      <w:sz w:val="16"/>
      <w:szCs w:val="16"/>
      <w:lang w:val="en-GB"/>
    </w:rPr>
  </w:style>
  <w:style w:type="paragraph" w:customStyle="1" w:styleId="BodyA">
    <w:name w:val="Body A"/>
    <w:rsid w:val="005A6F00"/>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Fett">
    <w:name w:val="Strong"/>
    <w:aliases w:val="Überschrift"/>
    <w:uiPriority w:val="99"/>
    <w:qFormat/>
    <w:rsid w:val="005A6F00"/>
    <w:rPr>
      <w:rFonts w:ascii="Sennheiser-Bold" w:hAnsi="Sennheiser-Bold" w:cs="Times New Roman"/>
      <w:sz w:val="22"/>
    </w:rPr>
  </w:style>
  <w:style w:type="character" w:styleId="Kommentarzeichen">
    <w:name w:val="annotation reference"/>
    <w:basedOn w:val="Absatz-Standardschriftart"/>
    <w:uiPriority w:val="99"/>
    <w:semiHidden/>
    <w:unhideWhenUsed/>
    <w:rsid w:val="005441A1"/>
    <w:rPr>
      <w:sz w:val="16"/>
      <w:szCs w:val="16"/>
    </w:rPr>
  </w:style>
  <w:style w:type="paragraph" w:styleId="Kommentartext">
    <w:name w:val="annotation text"/>
    <w:basedOn w:val="Standard"/>
    <w:link w:val="KommentartextZchn"/>
    <w:uiPriority w:val="99"/>
    <w:semiHidden/>
    <w:unhideWhenUsed/>
    <w:rsid w:val="005441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41A1"/>
    <w:rPr>
      <w:sz w:val="20"/>
      <w:szCs w:val="20"/>
      <w:lang w:val="en-GB"/>
    </w:rPr>
  </w:style>
  <w:style w:type="paragraph" w:styleId="Kommentarthema">
    <w:name w:val="annotation subject"/>
    <w:basedOn w:val="Kommentartext"/>
    <w:next w:val="Kommentartext"/>
    <w:link w:val="KommentarthemaZchn"/>
    <w:uiPriority w:val="99"/>
    <w:semiHidden/>
    <w:unhideWhenUsed/>
    <w:rsid w:val="005441A1"/>
    <w:rPr>
      <w:b/>
      <w:bCs/>
    </w:rPr>
  </w:style>
  <w:style w:type="character" w:customStyle="1" w:styleId="KommentarthemaZchn">
    <w:name w:val="Kommentarthema Zchn"/>
    <w:basedOn w:val="KommentartextZchn"/>
    <w:link w:val="Kommentarthema"/>
    <w:uiPriority w:val="99"/>
    <w:semiHidden/>
    <w:rsid w:val="005441A1"/>
    <w:rPr>
      <w:b/>
      <w:bCs/>
      <w:sz w:val="20"/>
      <w:szCs w:val="20"/>
      <w:lang w:val="en-GB"/>
    </w:rPr>
  </w:style>
  <w:style w:type="character" w:styleId="BesuchterLink">
    <w:name w:val="FollowedHyperlink"/>
    <w:basedOn w:val="Absatz-Standardschriftart"/>
    <w:uiPriority w:val="99"/>
    <w:semiHidden/>
    <w:unhideWhenUsed/>
    <w:rsid w:val="004D7F11"/>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703C95"/>
    <w:rPr>
      <w:color w:val="605E5C"/>
      <w:shd w:val="clear" w:color="auto" w:fill="E1DFDD"/>
    </w:rPr>
  </w:style>
  <w:style w:type="paragraph" w:styleId="Listenabsatz">
    <w:name w:val="List Paragraph"/>
    <w:basedOn w:val="Standard"/>
    <w:uiPriority w:val="34"/>
    <w:rsid w:val="00225F0B"/>
    <w:pPr>
      <w:ind w:left="720"/>
      <w:contextualSpacing/>
    </w:pPr>
  </w:style>
  <w:style w:type="paragraph" w:styleId="berarbeitung">
    <w:name w:val="Revision"/>
    <w:hidden/>
    <w:uiPriority w:val="99"/>
    <w:semiHidden/>
    <w:rsid w:val="00A81DBB"/>
    <w:pPr>
      <w:spacing w:after="0" w:line="240" w:lineRule="auto"/>
    </w:pPr>
    <w:rPr>
      <w:sz w:val="18"/>
      <w:lang w:val="en-GB"/>
    </w:rPr>
  </w:style>
  <w:style w:type="paragraph" w:customStyle="1" w:styleId="PPST05Zwischenberschrift">
    <w:name w:val="PP ST05 Zwischenüberschrift"/>
    <w:basedOn w:val="Standard"/>
    <w:next w:val="Standard"/>
    <w:rsid w:val="009955C5"/>
    <w:pPr>
      <w:tabs>
        <w:tab w:val="left" w:pos="284"/>
      </w:tabs>
      <w:spacing w:after="120" w:line="240" w:lineRule="auto"/>
    </w:pPr>
    <w:rPr>
      <w:rFonts w:ascii="Arial" w:eastAsia="Times New Roman" w:hAnsi="Arial" w:cs="Times New Roman"/>
      <w:b/>
      <w:color w:val="333333"/>
      <w:sz w:val="22"/>
      <w:szCs w:val="20"/>
      <w:lang w:val="de-DE" w:eastAsia="de-DE"/>
    </w:rPr>
  </w:style>
  <w:style w:type="character" w:styleId="NichtaufgelsteErwhnung">
    <w:name w:val="Unresolved Mention"/>
    <w:basedOn w:val="Absatz-Standardschriftart"/>
    <w:uiPriority w:val="99"/>
    <w:semiHidden/>
    <w:unhideWhenUsed/>
    <w:rsid w:val="00732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708">
      <w:bodyDiv w:val="1"/>
      <w:marLeft w:val="0"/>
      <w:marRight w:val="0"/>
      <w:marTop w:val="0"/>
      <w:marBottom w:val="0"/>
      <w:divBdr>
        <w:top w:val="none" w:sz="0" w:space="0" w:color="auto"/>
        <w:left w:val="none" w:sz="0" w:space="0" w:color="auto"/>
        <w:bottom w:val="none" w:sz="0" w:space="0" w:color="auto"/>
        <w:right w:val="none" w:sz="0" w:space="0" w:color="auto"/>
      </w:divBdr>
    </w:div>
    <w:div w:id="45029985">
      <w:bodyDiv w:val="1"/>
      <w:marLeft w:val="0"/>
      <w:marRight w:val="0"/>
      <w:marTop w:val="0"/>
      <w:marBottom w:val="0"/>
      <w:divBdr>
        <w:top w:val="none" w:sz="0" w:space="0" w:color="auto"/>
        <w:left w:val="none" w:sz="0" w:space="0" w:color="auto"/>
        <w:bottom w:val="none" w:sz="0" w:space="0" w:color="auto"/>
        <w:right w:val="none" w:sz="0" w:space="0" w:color="auto"/>
      </w:divBdr>
    </w:div>
    <w:div w:id="102841637">
      <w:bodyDiv w:val="1"/>
      <w:marLeft w:val="0"/>
      <w:marRight w:val="0"/>
      <w:marTop w:val="0"/>
      <w:marBottom w:val="0"/>
      <w:divBdr>
        <w:top w:val="none" w:sz="0" w:space="0" w:color="auto"/>
        <w:left w:val="none" w:sz="0" w:space="0" w:color="auto"/>
        <w:bottom w:val="none" w:sz="0" w:space="0" w:color="auto"/>
        <w:right w:val="none" w:sz="0" w:space="0" w:color="auto"/>
      </w:divBdr>
    </w:div>
    <w:div w:id="233706972">
      <w:bodyDiv w:val="1"/>
      <w:marLeft w:val="0"/>
      <w:marRight w:val="0"/>
      <w:marTop w:val="0"/>
      <w:marBottom w:val="0"/>
      <w:divBdr>
        <w:top w:val="none" w:sz="0" w:space="0" w:color="auto"/>
        <w:left w:val="none" w:sz="0" w:space="0" w:color="auto"/>
        <w:bottom w:val="none" w:sz="0" w:space="0" w:color="auto"/>
        <w:right w:val="none" w:sz="0" w:space="0" w:color="auto"/>
      </w:divBdr>
    </w:div>
    <w:div w:id="372729445">
      <w:bodyDiv w:val="1"/>
      <w:marLeft w:val="0"/>
      <w:marRight w:val="0"/>
      <w:marTop w:val="0"/>
      <w:marBottom w:val="0"/>
      <w:divBdr>
        <w:top w:val="none" w:sz="0" w:space="0" w:color="auto"/>
        <w:left w:val="none" w:sz="0" w:space="0" w:color="auto"/>
        <w:bottom w:val="none" w:sz="0" w:space="0" w:color="auto"/>
        <w:right w:val="none" w:sz="0" w:space="0" w:color="auto"/>
      </w:divBdr>
    </w:div>
    <w:div w:id="469979518">
      <w:bodyDiv w:val="1"/>
      <w:marLeft w:val="0"/>
      <w:marRight w:val="0"/>
      <w:marTop w:val="0"/>
      <w:marBottom w:val="0"/>
      <w:divBdr>
        <w:top w:val="none" w:sz="0" w:space="0" w:color="auto"/>
        <w:left w:val="none" w:sz="0" w:space="0" w:color="auto"/>
        <w:bottom w:val="none" w:sz="0" w:space="0" w:color="auto"/>
        <w:right w:val="none" w:sz="0" w:space="0" w:color="auto"/>
      </w:divBdr>
    </w:div>
    <w:div w:id="528177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8901">
          <w:marLeft w:val="0"/>
          <w:marRight w:val="0"/>
          <w:marTop w:val="0"/>
          <w:marBottom w:val="0"/>
          <w:divBdr>
            <w:top w:val="none" w:sz="0" w:space="0" w:color="auto"/>
            <w:left w:val="none" w:sz="0" w:space="0" w:color="auto"/>
            <w:bottom w:val="none" w:sz="0" w:space="0" w:color="auto"/>
            <w:right w:val="none" w:sz="0" w:space="0" w:color="auto"/>
          </w:divBdr>
          <w:divsChild>
            <w:div w:id="2073652115">
              <w:marLeft w:val="0"/>
              <w:marRight w:val="0"/>
              <w:marTop w:val="0"/>
              <w:marBottom w:val="0"/>
              <w:divBdr>
                <w:top w:val="none" w:sz="0" w:space="0" w:color="auto"/>
                <w:left w:val="none" w:sz="0" w:space="0" w:color="auto"/>
                <w:bottom w:val="none" w:sz="0" w:space="0" w:color="auto"/>
                <w:right w:val="none" w:sz="0" w:space="0" w:color="auto"/>
              </w:divBdr>
              <w:divsChild>
                <w:div w:id="578829910">
                  <w:marLeft w:val="0"/>
                  <w:marRight w:val="0"/>
                  <w:marTop w:val="0"/>
                  <w:marBottom w:val="0"/>
                  <w:divBdr>
                    <w:top w:val="none" w:sz="0" w:space="0" w:color="auto"/>
                    <w:left w:val="none" w:sz="0" w:space="0" w:color="auto"/>
                    <w:bottom w:val="none" w:sz="0" w:space="0" w:color="auto"/>
                    <w:right w:val="none" w:sz="0" w:space="0" w:color="auto"/>
                  </w:divBdr>
                </w:div>
              </w:divsChild>
            </w:div>
            <w:div w:id="499195067">
              <w:marLeft w:val="0"/>
              <w:marRight w:val="0"/>
              <w:marTop w:val="0"/>
              <w:marBottom w:val="0"/>
              <w:divBdr>
                <w:top w:val="none" w:sz="0" w:space="0" w:color="auto"/>
                <w:left w:val="none" w:sz="0" w:space="0" w:color="auto"/>
                <w:bottom w:val="none" w:sz="0" w:space="0" w:color="auto"/>
                <w:right w:val="none" w:sz="0" w:space="0" w:color="auto"/>
              </w:divBdr>
              <w:divsChild>
                <w:div w:id="3246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8649">
      <w:bodyDiv w:val="1"/>
      <w:marLeft w:val="0"/>
      <w:marRight w:val="0"/>
      <w:marTop w:val="0"/>
      <w:marBottom w:val="0"/>
      <w:divBdr>
        <w:top w:val="none" w:sz="0" w:space="0" w:color="auto"/>
        <w:left w:val="none" w:sz="0" w:space="0" w:color="auto"/>
        <w:bottom w:val="none" w:sz="0" w:space="0" w:color="auto"/>
        <w:right w:val="none" w:sz="0" w:space="0" w:color="auto"/>
      </w:divBdr>
    </w:div>
    <w:div w:id="701513202">
      <w:bodyDiv w:val="1"/>
      <w:marLeft w:val="0"/>
      <w:marRight w:val="0"/>
      <w:marTop w:val="0"/>
      <w:marBottom w:val="0"/>
      <w:divBdr>
        <w:top w:val="none" w:sz="0" w:space="0" w:color="auto"/>
        <w:left w:val="none" w:sz="0" w:space="0" w:color="auto"/>
        <w:bottom w:val="none" w:sz="0" w:space="0" w:color="auto"/>
        <w:right w:val="none" w:sz="0" w:space="0" w:color="auto"/>
      </w:divBdr>
    </w:div>
    <w:div w:id="944727107">
      <w:bodyDiv w:val="1"/>
      <w:marLeft w:val="0"/>
      <w:marRight w:val="0"/>
      <w:marTop w:val="0"/>
      <w:marBottom w:val="0"/>
      <w:divBdr>
        <w:top w:val="none" w:sz="0" w:space="0" w:color="auto"/>
        <w:left w:val="none" w:sz="0" w:space="0" w:color="auto"/>
        <w:bottom w:val="none" w:sz="0" w:space="0" w:color="auto"/>
        <w:right w:val="none" w:sz="0" w:space="0" w:color="auto"/>
      </w:divBdr>
    </w:div>
    <w:div w:id="1101099685">
      <w:bodyDiv w:val="1"/>
      <w:marLeft w:val="0"/>
      <w:marRight w:val="0"/>
      <w:marTop w:val="0"/>
      <w:marBottom w:val="0"/>
      <w:divBdr>
        <w:top w:val="none" w:sz="0" w:space="0" w:color="auto"/>
        <w:left w:val="none" w:sz="0" w:space="0" w:color="auto"/>
        <w:bottom w:val="none" w:sz="0" w:space="0" w:color="auto"/>
        <w:right w:val="none" w:sz="0" w:space="0" w:color="auto"/>
      </w:divBdr>
    </w:div>
    <w:div w:id="1186213508">
      <w:bodyDiv w:val="1"/>
      <w:marLeft w:val="0"/>
      <w:marRight w:val="0"/>
      <w:marTop w:val="0"/>
      <w:marBottom w:val="0"/>
      <w:divBdr>
        <w:top w:val="none" w:sz="0" w:space="0" w:color="auto"/>
        <w:left w:val="none" w:sz="0" w:space="0" w:color="auto"/>
        <w:bottom w:val="none" w:sz="0" w:space="0" w:color="auto"/>
        <w:right w:val="none" w:sz="0" w:space="0" w:color="auto"/>
      </w:divBdr>
    </w:div>
    <w:div w:id="1186601201">
      <w:bodyDiv w:val="1"/>
      <w:marLeft w:val="0"/>
      <w:marRight w:val="0"/>
      <w:marTop w:val="0"/>
      <w:marBottom w:val="0"/>
      <w:divBdr>
        <w:top w:val="none" w:sz="0" w:space="0" w:color="auto"/>
        <w:left w:val="none" w:sz="0" w:space="0" w:color="auto"/>
        <w:bottom w:val="none" w:sz="0" w:space="0" w:color="auto"/>
        <w:right w:val="none" w:sz="0" w:space="0" w:color="auto"/>
      </w:divBdr>
    </w:div>
    <w:div w:id="1335494608">
      <w:bodyDiv w:val="1"/>
      <w:marLeft w:val="0"/>
      <w:marRight w:val="0"/>
      <w:marTop w:val="0"/>
      <w:marBottom w:val="0"/>
      <w:divBdr>
        <w:top w:val="none" w:sz="0" w:space="0" w:color="auto"/>
        <w:left w:val="none" w:sz="0" w:space="0" w:color="auto"/>
        <w:bottom w:val="none" w:sz="0" w:space="0" w:color="auto"/>
        <w:right w:val="none" w:sz="0" w:space="0" w:color="auto"/>
      </w:divBdr>
    </w:div>
    <w:div w:id="1425222835">
      <w:bodyDiv w:val="1"/>
      <w:marLeft w:val="0"/>
      <w:marRight w:val="0"/>
      <w:marTop w:val="0"/>
      <w:marBottom w:val="0"/>
      <w:divBdr>
        <w:top w:val="none" w:sz="0" w:space="0" w:color="auto"/>
        <w:left w:val="none" w:sz="0" w:space="0" w:color="auto"/>
        <w:bottom w:val="none" w:sz="0" w:space="0" w:color="auto"/>
        <w:right w:val="none" w:sz="0" w:space="0" w:color="auto"/>
      </w:divBdr>
    </w:div>
    <w:div w:id="1469283641">
      <w:bodyDiv w:val="1"/>
      <w:marLeft w:val="0"/>
      <w:marRight w:val="0"/>
      <w:marTop w:val="0"/>
      <w:marBottom w:val="0"/>
      <w:divBdr>
        <w:top w:val="none" w:sz="0" w:space="0" w:color="auto"/>
        <w:left w:val="none" w:sz="0" w:space="0" w:color="auto"/>
        <w:bottom w:val="none" w:sz="0" w:space="0" w:color="auto"/>
        <w:right w:val="none" w:sz="0" w:space="0" w:color="auto"/>
      </w:divBdr>
    </w:div>
    <w:div w:id="1627468645">
      <w:bodyDiv w:val="1"/>
      <w:marLeft w:val="0"/>
      <w:marRight w:val="0"/>
      <w:marTop w:val="0"/>
      <w:marBottom w:val="0"/>
      <w:divBdr>
        <w:top w:val="none" w:sz="0" w:space="0" w:color="auto"/>
        <w:left w:val="none" w:sz="0" w:space="0" w:color="auto"/>
        <w:bottom w:val="none" w:sz="0" w:space="0" w:color="auto"/>
        <w:right w:val="none" w:sz="0" w:space="0" w:color="auto"/>
      </w:divBdr>
    </w:div>
    <w:div w:id="1643927949">
      <w:bodyDiv w:val="1"/>
      <w:marLeft w:val="0"/>
      <w:marRight w:val="0"/>
      <w:marTop w:val="0"/>
      <w:marBottom w:val="0"/>
      <w:divBdr>
        <w:top w:val="none" w:sz="0" w:space="0" w:color="auto"/>
        <w:left w:val="none" w:sz="0" w:space="0" w:color="auto"/>
        <w:bottom w:val="none" w:sz="0" w:space="0" w:color="auto"/>
        <w:right w:val="none" w:sz="0" w:space="0" w:color="auto"/>
      </w:divBdr>
    </w:div>
    <w:div w:id="1729299724">
      <w:bodyDiv w:val="1"/>
      <w:marLeft w:val="0"/>
      <w:marRight w:val="0"/>
      <w:marTop w:val="0"/>
      <w:marBottom w:val="0"/>
      <w:divBdr>
        <w:top w:val="none" w:sz="0" w:space="0" w:color="auto"/>
        <w:left w:val="none" w:sz="0" w:space="0" w:color="auto"/>
        <w:bottom w:val="none" w:sz="0" w:space="0" w:color="auto"/>
        <w:right w:val="none" w:sz="0" w:space="0" w:color="auto"/>
      </w:divBdr>
    </w:div>
    <w:div w:id="1864245364">
      <w:bodyDiv w:val="1"/>
      <w:marLeft w:val="0"/>
      <w:marRight w:val="0"/>
      <w:marTop w:val="0"/>
      <w:marBottom w:val="0"/>
      <w:divBdr>
        <w:top w:val="none" w:sz="0" w:space="0" w:color="auto"/>
        <w:left w:val="none" w:sz="0" w:space="0" w:color="auto"/>
        <w:bottom w:val="none" w:sz="0" w:space="0" w:color="auto"/>
        <w:right w:val="none" w:sz="0" w:space="0" w:color="auto"/>
      </w:divBdr>
    </w:div>
    <w:div w:id="1900361322">
      <w:bodyDiv w:val="1"/>
      <w:marLeft w:val="0"/>
      <w:marRight w:val="0"/>
      <w:marTop w:val="0"/>
      <w:marBottom w:val="0"/>
      <w:divBdr>
        <w:top w:val="none" w:sz="0" w:space="0" w:color="auto"/>
        <w:left w:val="none" w:sz="0" w:space="0" w:color="auto"/>
        <w:bottom w:val="none" w:sz="0" w:space="0" w:color="auto"/>
        <w:right w:val="none" w:sz="0" w:space="0" w:color="auto"/>
      </w:divBdr>
    </w:div>
    <w:div w:id="20366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audioplanung.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6" ma:contentTypeDescription="Create a new document." ma:contentTypeScope="" ma:versionID="1bd992c07e2eff1fa2af9e7b36bac73f">
  <xsd:schema xmlns:xsd="http://www.w3.org/2001/XMLSchema" xmlns:xs="http://www.w3.org/2001/XMLSchema" xmlns:p="http://schemas.microsoft.com/office/2006/metadata/properties" xmlns:ns2="b5baac0c-78f6-4287-bd7d-352235d7398f" targetNamespace="http://schemas.microsoft.com/office/2006/metadata/properties" ma:root="true" ma:fieldsID="851ceb324124887c6800597bff765839" ns2:_="">
    <xsd:import namespace="b5baac0c-78f6-4287-bd7d-352235d739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22208-A56E-4B77-B545-8C8772EB79D4}">
  <ds:schemaRefs>
    <ds:schemaRef ds:uri="http://schemas.microsoft.com/sharepoint/v3/contenttype/forms"/>
  </ds:schemaRefs>
</ds:datastoreItem>
</file>

<file path=customXml/itemProps2.xml><?xml version="1.0" encoding="utf-8"?>
<ds:datastoreItem xmlns:ds="http://schemas.openxmlformats.org/officeDocument/2006/customXml" ds:itemID="{D081EE46-FC76-42BC-B345-29CCCBDC8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D6E62E-2BE0-4EB0-AE53-3B769E8F8F4F}">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5baac0c-78f6-4287-bd7d-352235d7398f"/>
    <ds:schemaRef ds:uri="http://www.w3.org/XML/1998/namespace"/>
  </ds:schemaRefs>
</ds:datastoreItem>
</file>

<file path=customXml/itemProps4.xml><?xml version="1.0" encoding="utf-8"?>
<ds:datastoreItem xmlns:ds="http://schemas.openxmlformats.org/officeDocument/2006/customXml" ds:itemID="{98A4C429-46C3-4C2D-B6A3-37281FF0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1226</Words>
  <Characters>7726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18</cp:revision>
  <cp:lastPrinted>2019-09-19T15:08:00Z</cp:lastPrinted>
  <dcterms:created xsi:type="dcterms:W3CDTF">2019-09-11T13:25:00Z</dcterms:created>
  <dcterms:modified xsi:type="dcterms:W3CDTF">2019-09-19T15:18:00Z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